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B6A7" w14:textId="39842917" w:rsidR="005049A9" w:rsidRDefault="005049A9" w:rsidP="005049A9">
      <w:pPr>
        <w:pStyle w:val="Title"/>
        <w:jc w:val="center"/>
      </w:pPr>
      <w:r w:rsidRPr="005049A9"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3E5FC2F" wp14:editId="7C44EFA9">
            <wp:simplePos x="0" y="0"/>
            <wp:positionH relativeFrom="margin">
              <wp:align>center</wp:align>
            </wp:positionH>
            <wp:positionV relativeFrom="paragraph">
              <wp:posOffset>-22860</wp:posOffset>
            </wp:positionV>
            <wp:extent cx="2098415" cy="752475"/>
            <wp:effectExtent l="0" t="0" r="0" b="0"/>
            <wp:wrapNone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C5CF1A7-753C-4952-8F0D-A77DEE87FB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DC5CF1A7-753C-4952-8F0D-A77DEE87FB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D26D3" w14:textId="77777777" w:rsidR="0054182D" w:rsidRPr="00A72B72" w:rsidRDefault="0054182D" w:rsidP="00B34EF7">
      <w:pPr>
        <w:pStyle w:val="Title"/>
        <w:rPr>
          <w:sz w:val="48"/>
          <w:szCs w:val="48"/>
        </w:rPr>
      </w:pPr>
    </w:p>
    <w:p w14:paraId="2AC16FEE" w14:textId="10C00BF6" w:rsidR="00A5084B" w:rsidRPr="000C3CC4" w:rsidRDefault="001119BD" w:rsidP="001119BD">
      <w:pPr>
        <w:pStyle w:val="Title"/>
        <w:ind w:right="-180"/>
        <w:rPr>
          <w:sz w:val="44"/>
          <w:szCs w:val="44"/>
        </w:rPr>
      </w:pPr>
      <w:r w:rsidRPr="000C3CC4">
        <w:rPr>
          <w:sz w:val="44"/>
          <w:szCs w:val="44"/>
        </w:rPr>
        <w:t>Fresh Mushroom Sales Review</w:t>
      </w:r>
      <w:r w:rsidR="000C3CC4" w:rsidRPr="000C3CC4">
        <w:rPr>
          <w:sz w:val="44"/>
          <w:szCs w:val="44"/>
        </w:rPr>
        <w:t>; 4</w:t>
      </w:r>
      <w:r w:rsidR="00AE32A2">
        <w:rPr>
          <w:sz w:val="44"/>
          <w:szCs w:val="44"/>
        </w:rPr>
        <w:t xml:space="preserve"> and 52</w:t>
      </w:r>
      <w:r w:rsidR="000C3CC4" w:rsidRPr="000C3CC4">
        <w:rPr>
          <w:sz w:val="44"/>
          <w:szCs w:val="44"/>
        </w:rPr>
        <w:t xml:space="preserve"> w</w:t>
      </w:r>
      <w:r w:rsidR="00D22E21">
        <w:rPr>
          <w:sz w:val="44"/>
          <w:szCs w:val="44"/>
        </w:rPr>
        <w:t>.e.</w:t>
      </w:r>
      <w:r w:rsidR="000C3CC4" w:rsidRPr="000C3CC4">
        <w:rPr>
          <w:sz w:val="44"/>
          <w:szCs w:val="44"/>
        </w:rPr>
        <w:t xml:space="preserve"> </w:t>
      </w:r>
      <w:r w:rsidR="00865920">
        <w:rPr>
          <w:sz w:val="44"/>
          <w:szCs w:val="44"/>
        </w:rPr>
        <w:t>1</w:t>
      </w:r>
      <w:r w:rsidR="00E05FFE">
        <w:rPr>
          <w:sz w:val="44"/>
          <w:szCs w:val="44"/>
        </w:rPr>
        <w:t>1</w:t>
      </w:r>
      <w:r w:rsidR="00705769">
        <w:rPr>
          <w:sz w:val="44"/>
          <w:szCs w:val="44"/>
        </w:rPr>
        <w:t>.</w:t>
      </w:r>
      <w:r w:rsidR="00E05FFE">
        <w:rPr>
          <w:sz w:val="44"/>
          <w:szCs w:val="44"/>
        </w:rPr>
        <w:t>3</w:t>
      </w:r>
      <w:r w:rsidR="004147E0">
        <w:rPr>
          <w:sz w:val="44"/>
          <w:szCs w:val="44"/>
        </w:rPr>
        <w:t>.2024</w:t>
      </w:r>
    </w:p>
    <w:p w14:paraId="74281325" w14:textId="32978880" w:rsidR="00757C0B" w:rsidRPr="00CC4137" w:rsidRDefault="00D24514" w:rsidP="00757C0B">
      <w:pPr>
        <w:pStyle w:val="Heading1"/>
        <w:rPr>
          <w:b/>
          <w:bCs/>
          <w:color w:val="800000"/>
          <w:sz w:val="26"/>
          <w:szCs w:val="26"/>
        </w:rPr>
      </w:pPr>
      <w:r>
        <w:rPr>
          <w:b/>
          <w:bCs/>
          <w:color w:val="800000"/>
          <w:sz w:val="26"/>
          <w:szCs w:val="26"/>
        </w:rPr>
        <w:t>October</w:t>
      </w:r>
      <w:r w:rsidR="00807BB4" w:rsidRPr="00CC4137">
        <w:rPr>
          <w:b/>
          <w:bCs/>
          <w:color w:val="800000"/>
          <w:sz w:val="26"/>
          <w:szCs w:val="26"/>
        </w:rPr>
        <w:t xml:space="preserve"> in Review</w:t>
      </w:r>
    </w:p>
    <w:p w14:paraId="0C90878E" w14:textId="315BE61B" w:rsidR="00A7426C" w:rsidRPr="00A7426C" w:rsidRDefault="00E05FFE" w:rsidP="00A7426C">
      <w:pPr>
        <w:pStyle w:val="NoSpacing"/>
        <w:numPr>
          <w:ilvl w:val="0"/>
          <w:numId w:val="31"/>
        </w:numPr>
      </w:pPr>
      <w:bookmarkStart w:id="0" w:name="_Hlk182319354"/>
      <w:r>
        <w:t xml:space="preserve">October sales were heavily disrupted in the Southeast region, where hurricanes Helene and Milton left millions without power for days. While this tends to benefit center-store categories, mushroom sales in the Southeast paced behind the rest of the country during this quad-week period. </w:t>
      </w:r>
    </w:p>
    <w:p w14:paraId="35E137D4" w14:textId="665D4097" w:rsidR="00A7426C" w:rsidRPr="00A7426C" w:rsidRDefault="00A7426C" w:rsidP="00A7426C">
      <w:pPr>
        <w:pStyle w:val="NoSpacing"/>
        <w:numPr>
          <w:ilvl w:val="0"/>
          <w:numId w:val="31"/>
        </w:numPr>
      </w:pPr>
      <w:r w:rsidRPr="00A7426C">
        <w:t xml:space="preserve">The Consumer Sentiment Index by the University of Michigan </w:t>
      </w:r>
      <w:r w:rsidR="00E05FFE">
        <w:t>increased to 73 in November 2024 — the highest in seven months</w:t>
      </w:r>
      <w:r w:rsidRPr="00A7426C">
        <w:t>.</w:t>
      </w:r>
      <w:r w:rsidR="00E05FFE">
        <w:t xml:space="preserve"> The expectations index soared to 78.5, the highest since July 2021 and expectations over personal finances climbed 6%. </w:t>
      </w:r>
      <w:r w:rsidRPr="00A7426C">
        <w:t xml:space="preserve"> </w:t>
      </w:r>
    </w:p>
    <w:bookmarkEnd w:id="0"/>
    <w:p w14:paraId="2616F2F0" w14:textId="77777777" w:rsidR="00A7426C" w:rsidRPr="00A7426C" w:rsidRDefault="00A7426C" w:rsidP="00A7426C">
      <w:pPr>
        <w:pStyle w:val="NoSpacing"/>
        <w:rPr>
          <w:rFonts w:ascii="Arial" w:hAnsi="Arial" w:cs="Arial"/>
          <w:sz w:val="20"/>
          <w:szCs w:val="20"/>
        </w:rPr>
      </w:pPr>
    </w:p>
    <w:p w14:paraId="737234D5" w14:textId="3B512D43" w:rsidR="00927EAC" w:rsidRPr="00CC4137" w:rsidRDefault="007D3393" w:rsidP="00927EAC">
      <w:pPr>
        <w:pStyle w:val="Heading2"/>
        <w:rPr>
          <w:b/>
          <w:bCs/>
          <w:color w:val="800000"/>
        </w:rPr>
      </w:pPr>
      <w:r w:rsidRPr="00CC4137">
        <w:rPr>
          <w:b/>
          <w:bCs/>
          <w:color w:val="800000"/>
        </w:rPr>
        <w:t xml:space="preserve">Fresh Mushroom </w:t>
      </w:r>
      <w:r w:rsidR="00927EAC" w:rsidRPr="00CC4137">
        <w:rPr>
          <w:b/>
          <w:bCs/>
          <w:color w:val="800000"/>
        </w:rPr>
        <w:t>Dollars, Units and Volume Performance</w:t>
      </w:r>
    </w:p>
    <w:p w14:paraId="47797D03" w14:textId="2C9A255C" w:rsidR="00472B02" w:rsidRDefault="00226EF3" w:rsidP="00D3797F">
      <w:pPr>
        <w:pStyle w:val="NoSpacing"/>
        <w:ind w:right="-180"/>
      </w:pPr>
      <w:r>
        <w:t xml:space="preserve">The quad-week generated </w:t>
      </w:r>
      <w:r w:rsidR="001B68E6">
        <w:t>nearly $11</w:t>
      </w:r>
      <w:r w:rsidR="00510C02">
        <w:t>2</w:t>
      </w:r>
      <w:r w:rsidR="001B68E6">
        <w:t xml:space="preserve"> million</w:t>
      </w:r>
      <w:r w:rsidR="00FA0530">
        <w:t xml:space="preserve"> in sales, which </w:t>
      </w:r>
      <w:r w:rsidR="00CC4137">
        <w:t>meant dollar</w:t>
      </w:r>
      <w:r w:rsidR="00D3797F">
        <w:t xml:space="preserve"> sales</w:t>
      </w:r>
      <w:r w:rsidR="00CC4137">
        <w:t xml:space="preserve"> </w:t>
      </w:r>
      <w:r w:rsidR="00510C02">
        <w:t>were down 1.6% from</w:t>
      </w:r>
      <w:r w:rsidR="001B68E6">
        <w:t xml:space="preserve"> year-ago levels</w:t>
      </w:r>
      <w:r>
        <w:t>.</w:t>
      </w:r>
      <w:r w:rsidR="00865920">
        <w:t xml:space="preserve"> </w:t>
      </w:r>
      <w:r w:rsidR="001B68E6">
        <w:t>P</w:t>
      </w:r>
      <w:r w:rsidR="00865920">
        <w:t xml:space="preserve">ounds were down </w:t>
      </w:r>
      <w:r w:rsidR="001B68E6">
        <w:t>a little</w:t>
      </w:r>
      <w:r w:rsidR="00510C02">
        <w:t xml:space="preserve"> more</w:t>
      </w:r>
      <w:r w:rsidR="001B68E6">
        <w:t>, at -</w:t>
      </w:r>
      <w:r w:rsidR="00510C02">
        <w:t>2.9</w:t>
      </w:r>
      <w:r w:rsidR="00CC4137">
        <w:t>%.</w:t>
      </w:r>
      <w:r w:rsidR="001B68E6">
        <w:t xml:space="preserve"> While this performance is not as strong as </w:t>
      </w:r>
      <w:r w:rsidR="00510C02">
        <w:t>quad week nine</w:t>
      </w:r>
      <w:r w:rsidR="001B68E6">
        <w:t xml:space="preserve">, the market disruptions pulled down sales in the Southeast, which is a large region that affected overall patterns. </w:t>
      </w:r>
    </w:p>
    <w:p w14:paraId="40FAA348" w14:textId="6A56CCC2" w:rsidR="00AD7044" w:rsidRPr="006D5DC2" w:rsidRDefault="00AD7044" w:rsidP="00472B02">
      <w:pPr>
        <w:pStyle w:val="NoSpacing"/>
        <w:rPr>
          <w:sz w:val="6"/>
          <w:szCs w:val="6"/>
        </w:rPr>
      </w:pPr>
    </w:p>
    <w:tbl>
      <w:tblPr>
        <w:tblStyle w:val="ListTable3-Accent3"/>
        <w:tblW w:w="10269" w:type="dxa"/>
        <w:tblLook w:val="04A0" w:firstRow="1" w:lastRow="0" w:firstColumn="1" w:lastColumn="0" w:noHBand="0" w:noVBand="1"/>
      </w:tblPr>
      <w:tblGrid>
        <w:gridCol w:w="1792"/>
        <w:gridCol w:w="2163"/>
        <w:gridCol w:w="954"/>
        <w:gridCol w:w="971"/>
        <w:gridCol w:w="2074"/>
        <w:gridCol w:w="1121"/>
        <w:gridCol w:w="1194"/>
      </w:tblGrid>
      <w:tr w:rsidR="00B672D0" w:rsidRPr="00124CB7" w14:paraId="5D073D77" w14:textId="77777777" w:rsidTr="00D3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2" w:type="dxa"/>
            <w:shd w:val="clear" w:color="auto" w:fill="800000"/>
          </w:tcPr>
          <w:p w14:paraId="0624EE87" w14:textId="452C2900" w:rsidR="00B672D0" w:rsidRPr="00124CB7" w:rsidRDefault="00B672D0" w:rsidP="00B672D0">
            <w:pPr>
              <w:pStyle w:val="NoSpacing"/>
            </w:pPr>
            <w:r>
              <w:t>Fresh mushrooms</w:t>
            </w:r>
          </w:p>
        </w:tc>
        <w:tc>
          <w:tcPr>
            <w:tcW w:w="2163" w:type="dxa"/>
            <w:shd w:val="clear" w:color="auto" w:fill="800000"/>
          </w:tcPr>
          <w:p w14:paraId="51DF6E55" w14:textId="5D7729C4" w:rsidR="00B672D0" w:rsidRPr="00124CB7" w:rsidRDefault="00B672D0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weeks ending </w:t>
            </w:r>
            <w:r w:rsidR="006C1B19">
              <w:t>11/3/2024</w:t>
            </w:r>
          </w:p>
        </w:tc>
        <w:tc>
          <w:tcPr>
            <w:tcW w:w="954" w:type="dxa"/>
            <w:shd w:val="clear" w:color="auto" w:fill="800000"/>
          </w:tcPr>
          <w:p w14:paraId="0398A30D" w14:textId="4921FDAA" w:rsidR="00B672D0" w:rsidRPr="00124CB7" w:rsidRDefault="00FA3219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3516FA">
              <w:br/>
              <w:t>YA</w:t>
            </w:r>
          </w:p>
        </w:tc>
        <w:tc>
          <w:tcPr>
            <w:tcW w:w="971" w:type="dxa"/>
            <w:shd w:val="clear" w:color="auto" w:fill="800000"/>
          </w:tcPr>
          <w:p w14:paraId="11B3D9FB" w14:textId="380D4956" w:rsidR="00B672D0" w:rsidRPr="00124CB7" w:rsidRDefault="00FA3219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3516FA">
              <w:br/>
              <w:t>3YA</w:t>
            </w:r>
          </w:p>
        </w:tc>
        <w:tc>
          <w:tcPr>
            <w:tcW w:w="2074" w:type="dxa"/>
            <w:shd w:val="clear" w:color="auto" w:fill="800000"/>
          </w:tcPr>
          <w:p w14:paraId="3BBE24C3" w14:textId="30A3DE30" w:rsidR="00B672D0" w:rsidRPr="00124CB7" w:rsidRDefault="00B672D0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Latest 52 w.e. </w:t>
            </w:r>
            <w:r w:rsidR="006C1B19">
              <w:t>11/3/2024</w:t>
            </w:r>
          </w:p>
        </w:tc>
        <w:tc>
          <w:tcPr>
            <w:tcW w:w="1121" w:type="dxa"/>
            <w:shd w:val="clear" w:color="auto" w:fill="800000"/>
          </w:tcPr>
          <w:p w14:paraId="0895179F" w14:textId="7698D04F" w:rsidR="00B672D0" w:rsidRPr="00124CB7" w:rsidRDefault="00FA3219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226EF3">
              <w:br/>
            </w:r>
            <w:r w:rsidR="003516FA">
              <w:t>YA</w:t>
            </w:r>
          </w:p>
        </w:tc>
        <w:tc>
          <w:tcPr>
            <w:tcW w:w="1194" w:type="dxa"/>
            <w:shd w:val="clear" w:color="auto" w:fill="800000"/>
          </w:tcPr>
          <w:p w14:paraId="5AB7ECE0" w14:textId="6F271372" w:rsidR="00B672D0" w:rsidRPr="00124CB7" w:rsidRDefault="00B672D0" w:rsidP="00FA3219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226EF3">
              <w:br/>
            </w:r>
            <w:r w:rsidR="003516FA">
              <w:t>3YA</w:t>
            </w:r>
          </w:p>
        </w:tc>
      </w:tr>
      <w:tr w:rsidR="006C1B19" w14:paraId="22401D5B" w14:textId="77777777" w:rsidTr="006D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79CDF43D" w14:textId="166854D6" w:rsidR="006C1B19" w:rsidRPr="006C1B19" w:rsidRDefault="006C1B19" w:rsidP="006C1B19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6C1B19">
              <w:rPr>
                <w:rFonts w:cstheme="minorHAnsi"/>
                <w:b w:val="0"/>
                <w:bCs w:val="0"/>
              </w:rPr>
              <w:t>Dollars</w:t>
            </w:r>
          </w:p>
        </w:tc>
        <w:tc>
          <w:tcPr>
            <w:tcW w:w="2163" w:type="dxa"/>
            <w:vAlign w:val="center"/>
          </w:tcPr>
          <w:p w14:paraId="6D1FCB95" w14:textId="3DBB1203" w:rsidR="006C1B19" w:rsidRPr="006C1B19" w:rsidRDefault="006C1B19" w:rsidP="006C1B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$112,288,193</w:t>
            </w:r>
          </w:p>
        </w:tc>
        <w:tc>
          <w:tcPr>
            <w:tcW w:w="954" w:type="dxa"/>
            <w:vAlign w:val="center"/>
          </w:tcPr>
          <w:p w14:paraId="77D2040B" w14:textId="6BDCAA18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-1.6%</w:t>
            </w:r>
          </w:p>
        </w:tc>
        <w:tc>
          <w:tcPr>
            <w:tcW w:w="971" w:type="dxa"/>
            <w:vAlign w:val="center"/>
          </w:tcPr>
          <w:p w14:paraId="4EF21002" w14:textId="54A23777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-5.1%</w:t>
            </w:r>
          </w:p>
        </w:tc>
        <w:tc>
          <w:tcPr>
            <w:tcW w:w="2074" w:type="dxa"/>
            <w:vAlign w:val="center"/>
          </w:tcPr>
          <w:p w14:paraId="375CF9DD" w14:textId="0893FBEA" w:rsidR="006C1B19" w:rsidRPr="006C1B19" w:rsidRDefault="006C1B19" w:rsidP="006C1B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$1,524,537,259</w:t>
            </w:r>
          </w:p>
        </w:tc>
        <w:tc>
          <w:tcPr>
            <w:tcW w:w="1121" w:type="dxa"/>
            <w:vAlign w:val="center"/>
          </w:tcPr>
          <w:p w14:paraId="04EA64A9" w14:textId="536CD517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-1.9%</w:t>
            </w:r>
          </w:p>
        </w:tc>
        <w:tc>
          <w:tcPr>
            <w:tcW w:w="1194" w:type="dxa"/>
            <w:vAlign w:val="center"/>
          </w:tcPr>
          <w:p w14:paraId="2F2464E9" w14:textId="20A00177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-4.7%</w:t>
            </w:r>
          </w:p>
        </w:tc>
      </w:tr>
      <w:tr w:rsidR="006C1B19" w14:paraId="31FB8D29" w14:textId="77777777" w:rsidTr="006D1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10B2F651" w14:textId="48542DFC" w:rsidR="006C1B19" w:rsidRPr="006C1B19" w:rsidRDefault="006C1B19" w:rsidP="006C1B19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6C1B19">
              <w:rPr>
                <w:rFonts w:cstheme="minorHAnsi"/>
                <w:b w:val="0"/>
                <w:bCs w:val="0"/>
              </w:rPr>
              <w:t>Units</w:t>
            </w:r>
          </w:p>
        </w:tc>
        <w:tc>
          <w:tcPr>
            <w:tcW w:w="2163" w:type="dxa"/>
            <w:vAlign w:val="center"/>
          </w:tcPr>
          <w:p w14:paraId="3CA03520" w14:textId="44A289A1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36,971,330</w:t>
            </w:r>
          </w:p>
        </w:tc>
        <w:tc>
          <w:tcPr>
            <w:tcW w:w="954" w:type="dxa"/>
            <w:vAlign w:val="center"/>
          </w:tcPr>
          <w:p w14:paraId="6922F333" w14:textId="0FD6BAA3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-3.6%</w:t>
            </w:r>
          </w:p>
        </w:tc>
        <w:tc>
          <w:tcPr>
            <w:tcW w:w="971" w:type="dxa"/>
            <w:vAlign w:val="center"/>
          </w:tcPr>
          <w:p w14:paraId="7CD8DEEA" w14:textId="38ACB232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-12.0%</w:t>
            </w:r>
          </w:p>
        </w:tc>
        <w:tc>
          <w:tcPr>
            <w:tcW w:w="2074" w:type="dxa"/>
            <w:vAlign w:val="center"/>
          </w:tcPr>
          <w:p w14:paraId="26ECACB9" w14:textId="7FC68921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502,080,551</w:t>
            </w:r>
          </w:p>
        </w:tc>
        <w:tc>
          <w:tcPr>
            <w:tcW w:w="1121" w:type="dxa"/>
            <w:vAlign w:val="center"/>
          </w:tcPr>
          <w:p w14:paraId="60AAF678" w14:textId="39D8E9F6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-2.7%</w:t>
            </w:r>
          </w:p>
        </w:tc>
        <w:tc>
          <w:tcPr>
            <w:tcW w:w="1194" w:type="dxa"/>
            <w:vAlign w:val="center"/>
          </w:tcPr>
          <w:p w14:paraId="19BE3B74" w14:textId="437430FF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-13.6%</w:t>
            </w:r>
          </w:p>
        </w:tc>
      </w:tr>
      <w:tr w:rsidR="006C1B19" w14:paraId="2EB720F3" w14:textId="77777777" w:rsidTr="006D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1A632454" w14:textId="04CEBBF8" w:rsidR="006C1B19" w:rsidRPr="006C1B19" w:rsidRDefault="006C1B19" w:rsidP="006C1B19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6C1B19">
              <w:rPr>
                <w:rFonts w:cstheme="minorHAnsi"/>
                <w:b w:val="0"/>
                <w:bCs w:val="0"/>
              </w:rPr>
              <w:t>Volume (pounds)</w:t>
            </w:r>
          </w:p>
        </w:tc>
        <w:tc>
          <w:tcPr>
            <w:tcW w:w="2163" w:type="dxa"/>
            <w:vAlign w:val="center"/>
          </w:tcPr>
          <w:p w14:paraId="68757A76" w14:textId="42D639CB" w:rsidR="006C1B19" w:rsidRPr="006C1B19" w:rsidRDefault="006C1B19" w:rsidP="006C1B19">
            <w:pPr>
              <w:pStyle w:val="NoSpacing"/>
              <w:tabs>
                <w:tab w:val="center" w:pos="747"/>
                <w:tab w:val="right" w:pos="149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24,600,048</w:t>
            </w:r>
          </w:p>
        </w:tc>
        <w:tc>
          <w:tcPr>
            <w:tcW w:w="954" w:type="dxa"/>
            <w:vAlign w:val="center"/>
          </w:tcPr>
          <w:p w14:paraId="7DE7F9CC" w14:textId="11DF4175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-2.9%</w:t>
            </w:r>
          </w:p>
        </w:tc>
        <w:tc>
          <w:tcPr>
            <w:tcW w:w="971" w:type="dxa"/>
            <w:vAlign w:val="center"/>
          </w:tcPr>
          <w:p w14:paraId="47670DC1" w14:textId="4D05DD8B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-11.1%</w:t>
            </w:r>
          </w:p>
        </w:tc>
        <w:tc>
          <w:tcPr>
            <w:tcW w:w="2074" w:type="dxa"/>
            <w:vAlign w:val="center"/>
          </w:tcPr>
          <w:p w14:paraId="57878EB0" w14:textId="1D066D65" w:rsidR="006C1B19" w:rsidRPr="006C1B19" w:rsidRDefault="006C1B19" w:rsidP="006C1B19">
            <w:pPr>
              <w:pStyle w:val="NoSpacing"/>
              <w:tabs>
                <w:tab w:val="center" w:pos="743"/>
                <w:tab w:val="right" w:pos="148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334,701,629</w:t>
            </w:r>
          </w:p>
        </w:tc>
        <w:tc>
          <w:tcPr>
            <w:tcW w:w="1121" w:type="dxa"/>
            <w:vAlign w:val="center"/>
          </w:tcPr>
          <w:p w14:paraId="0679CD28" w14:textId="720E0F91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-2.6%</w:t>
            </w:r>
          </w:p>
        </w:tc>
        <w:tc>
          <w:tcPr>
            <w:tcW w:w="1194" w:type="dxa"/>
            <w:vAlign w:val="center"/>
          </w:tcPr>
          <w:p w14:paraId="09C03B7F" w14:textId="3A154A0F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-13.1%</w:t>
            </w:r>
          </w:p>
        </w:tc>
      </w:tr>
    </w:tbl>
    <w:p w14:paraId="5B1F1AF6" w14:textId="35382901" w:rsidR="0092088E" w:rsidRPr="00555250" w:rsidRDefault="00555250" w:rsidP="00555250">
      <w:pPr>
        <w:pStyle w:val="NoSpacing"/>
        <w:spacing w:before="120"/>
        <w:rPr>
          <w:color w:val="7F7F7F" w:themeColor="text1" w:themeTint="80"/>
          <w:sz w:val="16"/>
          <w:szCs w:val="16"/>
        </w:rPr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r w:rsidR="004C5B27">
        <w:rPr>
          <w:color w:val="7F7F7F" w:themeColor="text1" w:themeTint="80"/>
          <w:sz w:val="16"/>
          <w:szCs w:val="16"/>
        </w:rPr>
        <w:t>Circana</w:t>
      </w:r>
      <w:r w:rsidRPr="00555250">
        <w:rPr>
          <w:color w:val="7F7F7F" w:themeColor="text1" w:themeTint="80"/>
          <w:sz w:val="16"/>
          <w:szCs w:val="16"/>
        </w:rPr>
        <w:t xml:space="preserve">, Integrated Fresh, </w:t>
      </w:r>
      <w:r w:rsidR="00FA0530"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 w:rsidR="00977F7F">
        <w:rPr>
          <w:color w:val="7F7F7F" w:themeColor="text1" w:themeTint="80"/>
          <w:sz w:val="16"/>
          <w:szCs w:val="16"/>
        </w:rPr>
        <w:t xml:space="preserve">YTD and </w:t>
      </w:r>
      <w:r w:rsidR="007D30DA">
        <w:rPr>
          <w:color w:val="7F7F7F" w:themeColor="text1" w:themeTint="80"/>
          <w:sz w:val="16"/>
          <w:szCs w:val="16"/>
        </w:rPr>
        <w:t>4</w:t>
      </w:r>
      <w:r w:rsidRPr="00555250">
        <w:rPr>
          <w:color w:val="7F7F7F" w:themeColor="text1" w:themeTint="80"/>
          <w:sz w:val="16"/>
          <w:szCs w:val="16"/>
        </w:rPr>
        <w:t xml:space="preserve"> weeks ending </w:t>
      </w:r>
      <w:r w:rsidR="006C1B19">
        <w:rPr>
          <w:color w:val="7F7F7F" w:themeColor="text1" w:themeTint="80"/>
          <w:sz w:val="16"/>
          <w:szCs w:val="16"/>
        </w:rPr>
        <w:t>11/3/2024</w:t>
      </w:r>
    </w:p>
    <w:p w14:paraId="709034BA" w14:textId="77777777" w:rsidR="0022081A" w:rsidRDefault="0022081A" w:rsidP="00E25C6B">
      <w:pPr>
        <w:pStyle w:val="NoSpacing"/>
      </w:pPr>
    </w:p>
    <w:p w14:paraId="01DB995D" w14:textId="5AA054CA" w:rsidR="0022081A" w:rsidRPr="00CC4137" w:rsidRDefault="0022081A" w:rsidP="0022081A">
      <w:pPr>
        <w:pStyle w:val="Heading2"/>
        <w:rPr>
          <w:b/>
          <w:bCs/>
          <w:color w:val="800000"/>
        </w:rPr>
      </w:pPr>
      <w:r w:rsidRPr="00CC4137">
        <w:rPr>
          <w:b/>
          <w:bCs/>
          <w:color w:val="800000"/>
        </w:rPr>
        <w:t>Performance by Type</w:t>
      </w:r>
    </w:p>
    <w:p w14:paraId="1EA6211B" w14:textId="57F6575B" w:rsidR="00CC4137" w:rsidRDefault="00E25C6B" w:rsidP="001B68E6">
      <w:pPr>
        <w:pStyle w:val="NoSpacing"/>
      </w:pPr>
      <w:r>
        <w:t>In the new MULO+ universe, white</w:t>
      </w:r>
      <w:r w:rsidR="00810052">
        <w:t xml:space="preserve"> mushrooms represented </w:t>
      </w:r>
      <w:r w:rsidR="00510C02">
        <w:t>48.7%</w:t>
      </w:r>
      <w:r>
        <w:t xml:space="preserve"> of</w:t>
      </w:r>
      <w:r w:rsidR="00105C56">
        <w:t xml:space="preserve"> </w:t>
      </w:r>
      <w:r w:rsidR="00510C02">
        <w:t>total mushroom</w:t>
      </w:r>
      <w:r w:rsidR="00105C56">
        <w:t xml:space="preserve"> dollars, yet </w:t>
      </w:r>
      <w:r w:rsidR="00D24514">
        <w:t>55.</w:t>
      </w:r>
      <w:r w:rsidR="00510C02">
        <w:t>7</w:t>
      </w:r>
      <w:r>
        <w:t xml:space="preserve">% of pounds due to a lower price per pound </w:t>
      </w:r>
      <w:r w:rsidR="0064102A">
        <w:t xml:space="preserve">versus </w:t>
      </w:r>
      <w:r>
        <w:t xml:space="preserve">other varieties. </w:t>
      </w:r>
      <w:r w:rsidR="00CC4137">
        <w:t>White mushroom dollar s</w:t>
      </w:r>
      <w:r w:rsidR="00865920">
        <w:t>ales were down -</w:t>
      </w:r>
      <w:r w:rsidR="00D24514">
        <w:t>2.</w:t>
      </w:r>
      <w:r w:rsidR="00510C02">
        <w:t>7</w:t>
      </w:r>
      <w:r w:rsidR="00CC4137">
        <w:t>% during the four-week period, roughly the s</w:t>
      </w:r>
      <w:r w:rsidR="00865920">
        <w:t>ame as the pound decline of -</w:t>
      </w:r>
      <w:r w:rsidR="00510C02">
        <w:t>3.0</w:t>
      </w:r>
      <w:r w:rsidR="00CC4137">
        <w:t>%.</w:t>
      </w:r>
      <w:r w:rsidR="002E6000">
        <w:t xml:space="preserve"> Crimini/baby bella</w:t>
      </w:r>
      <w:r w:rsidR="00510C02">
        <w:t xml:space="preserve"> </w:t>
      </w:r>
      <w:r w:rsidR="00CC4137">
        <w:t xml:space="preserve">mushroom sales </w:t>
      </w:r>
      <w:r w:rsidR="00510C02">
        <w:t xml:space="preserve">were </w:t>
      </w:r>
      <w:r w:rsidR="002E6000">
        <w:t>down year-on-year, but fared better than white or portabella mushrooms</w:t>
      </w:r>
      <w:r w:rsidR="001B68E6">
        <w:t xml:space="preserve">. </w:t>
      </w:r>
      <w:r w:rsidR="002E6000">
        <w:t>Crimini now accounts for 35.2% of pounds.</w:t>
      </w:r>
      <w:r w:rsidR="00865920">
        <w:t xml:space="preserve"> Specialty mushrooms reflect </w:t>
      </w:r>
      <w:r w:rsidR="002E6000">
        <w:t>8.4</w:t>
      </w:r>
      <w:r w:rsidR="00CC4137">
        <w:t xml:space="preserve">% of sales in the expanded MULO+ universe. Dollar </w:t>
      </w:r>
      <w:r w:rsidR="00865920">
        <w:t>(+</w:t>
      </w:r>
      <w:r w:rsidR="002E6000">
        <w:t>10.0</w:t>
      </w:r>
      <w:r w:rsidR="00D3797F">
        <w:t xml:space="preserve">%) </w:t>
      </w:r>
      <w:r w:rsidR="00CC4137">
        <w:t>and volume</w:t>
      </w:r>
      <w:r w:rsidR="00865920">
        <w:t xml:space="preserve"> (+</w:t>
      </w:r>
      <w:r w:rsidR="002E6000">
        <w:t>12.3</w:t>
      </w:r>
      <w:r w:rsidR="00D3797F">
        <w:t>%)</w:t>
      </w:r>
      <w:r w:rsidR="00CC4137">
        <w:t xml:space="preserve"> sales increased substantially year-on-year.</w:t>
      </w:r>
    </w:p>
    <w:p w14:paraId="18F23348" w14:textId="77777777" w:rsidR="00CC4137" w:rsidRDefault="00CC4137" w:rsidP="001B68E6">
      <w:pPr>
        <w:pStyle w:val="NoSpacing"/>
      </w:pPr>
    </w:p>
    <w:tbl>
      <w:tblPr>
        <w:tblStyle w:val="ListTable3-Accent3"/>
        <w:tblW w:w="10349" w:type="dxa"/>
        <w:tblLayout w:type="fixed"/>
        <w:tblLook w:val="0400" w:firstRow="0" w:lastRow="0" w:firstColumn="0" w:lastColumn="0" w:noHBand="0" w:noVBand="1"/>
      </w:tblPr>
      <w:tblGrid>
        <w:gridCol w:w="2448"/>
        <w:gridCol w:w="1168"/>
        <w:gridCol w:w="882"/>
        <w:gridCol w:w="991"/>
        <w:gridCol w:w="972"/>
        <w:gridCol w:w="1152"/>
        <w:gridCol w:w="864"/>
        <w:gridCol w:w="1008"/>
        <w:gridCol w:w="864"/>
      </w:tblGrid>
      <w:tr w:rsidR="00E25C6B" w:rsidRPr="00B25DFD" w14:paraId="06A52115" w14:textId="77777777" w:rsidTr="0051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48" w:type="dxa"/>
            <w:shd w:val="clear" w:color="auto" w:fill="800000"/>
            <w:hideMark/>
          </w:tcPr>
          <w:p w14:paraId="60C8BF6E" w14:textId="332ACD90" w:rsidR="00E25C6B" w:rsidRPr="00510C02" w:rsidRDefault="00E25C6B" w:rsidP="009718A1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  <w:bookmarkStart w:id="1" w:name="_Hlk97115006"/>
            <w:r w:rsidRPr="00510C02">
              <w:rPr>
                <w:rFonts w:cstheme="minorHAnsi"/>
                <w:b/>
                <w:bCs/>
                <w:color w:val="FFFFFF" w:themeColor="background1"/>
              </w:rPr>
              <w:t xml:space="preserve">4 weeks ending </w:t>
            </w:r>
            <w:r w:rsidR="006C1B19" w:rsidRPr="00510C02">
              <w:rPr>
                <w:rFonts w:cstheme="minorHAnsi"/>
                <w:b/>
                <w:bCs/>
                <w:color w:val="FFFFFF" w:themeColor="background1"/>
              </w:rPr>
              <w:t>11/3/2024</w:t>
            </w:r>
          </w:p>
        </w:tc>
        <w:tc>
          <w:tcPr>
            <w:tcW w:w="1168" w:type="dxa"/>
            <w:shd w:val="clear" w:color="auto" w:fill="800000"/>
            <w:hideMark/>
          </w:tcPr>
          <w:p w14:paraId="1064D99F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Dollars</w:t>
            </w:r>
          </w:p>
        </w:tc>
        <w:tc>
          <w:tcPr>
            <w:tcW w:w="882" w:type="dxa"/>
            <w:shd w:val="clear" w:color="auto" w:fill="800000"/>
          </w:tcPr>
          <w:p w14:paraId="07FD6981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Dollar share</w:t>
            </w:r>
          </w:p>
        </w:tc>
        <w:tc>
          <w:tcPr>
            <w:tcW w:w="991" w:type="dxa"/>
            <w:shd w:val="clear" w:color="auto" w:fill="800000"/>
            <w:hideMark/>
          </w:tcPr>
          <w:p w14:paraId="1FC52AF2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$ sales vs. YA</w:t>
            </w:r>
          </w:p>
        </w:tc>
        <w:tc>
          <w:tcPr>
            <w:tcW w:w="972" w:type="dxa"/>
            <w:shd w:val="clear" w:color="auto" w:fill="800000"/>
            <w:hideMark/>
          </w:tcPr>
          <w:p w14:paraId="6A0D386A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$ sales vs. 3YA</w:t>
            </w:r>
          </w:p>
        </w:tc>
        <w:tc>
          <w:tcPr>
            <w:tcW w:w="1152" w:type="dxa"/>
            <w:shd w:val="clear" w:color="auto" w:fill="800000"/>
          </w:tcPr>
          <w:p w14:paraId="183A24AF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Volume (lbs)</w:t>
            </w:r>
          </w:p>
        </w:tc>
        <w:tc>
          <w:tcPr>
            <w:tcW w:w="864" w:type="dxa"/>
            <w:shd w:val="clear" w:color="auto" w:fill="800000"/>
          </w:tcPr>
          <w:p w14:paraId="099E0FD1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Lbs</w:t>
            </w:r>
          </w:p>
          <w:p w14:paraId="0FD167EC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share</w:t>
            </w:r>
          </w:p>
        </w:tc>
        <w:tc>
          <w:tcPr>
            <w:tcW w:w="1008" w:type="dxa"/>
            <w:shd w:val="clear" w:color="auto" w:fill="800000"/>
          </w:tcPr>
          <w:p w14:paraId="6F8C758A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 xml:space="preserve">Lbs </w:t>
            </w:r>
            <w:r w:rsidRPr="00510C02">
              <w:rPr>
                <w:rFonts w:cstheme="minorHAnsi"/>
                <w:b/>
                <w:bCs/>
                <w:color w:val="FFFFFF" w:themeColor="background1"/>
              </w:rPr>
              <w:br/>
              <w:t>vs. YA</w:t>
            </w:r>
          </w:p>
        </w:tc>
        <w:tc>
          <w:tcPr>
            <w:tcW w:w="864" w:type="dxa"/>
            <w:shd w:val="clear" w:color="auto" w:fill="800000"/>
          </w:tcPr>
          <w:p w14:paraId="7A8620CC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Lbs vs. 3YA</w:t>
            </w:r>
          </w:p>
        </w:tc>
      </w:tr>
      <w:tr w:rsidR="00510C02" w:rsidRPr="00B25DFD" w14:paraId="6060B2B6" w14:textId="77777777" w:rsidTr="00510C02">
        <w:trPr>
          <w:trHeight w:val="20"/>
        </w:trPr>
        <w:tc>
          <w:tcPr>
            <w:tcW w:w="2448" w:type="dxa"/>
            <w:hideMark/>
          </w:tcPr>
          <w:p w14:paraId="07F2D68F" w14:textId="77777777" w:rsidR="00510C02" w:rsidRPr="00510C02" w:rsidRDefault="00510C02" w:rsidP="00510C02">
            <w:pPr>
              <w:rPr>
                <w:rFonts w:cstheme="minorHAnsi"/>
                <w:b/>
                <w:bCs/>
              </w:rPr>
            </w:pPr>
            <w:r w:rsidRPr="00510C02">
              <w:rPr>
                <w:rFonts w:eastAsia="Calibri" w:cstheme="minorHAnsi"/>
                <w:b/>
                <w:bCs/>
                <w:color w:val="000000" w:themeColor="text1"/>
                <w:kern w:val="24"/>
              </w:rPr>
              <w:t>Total fresh mushrooms</w:t>
            </w:r>
          </w:p>
        </w:tc>
        <w:tc>
          <w:tcPr>
            <w:tcW w:w="1168" w:type="dxa"/>
            <w:hideMark/>
          </w:tcPr>
          <w:p w14:paraId="0A1DDAB5" w14:textId="16B18431" w:rsidR="00510C02" w:rsidRPr="00510C02" w:rsidRDefault="00510C02" w:rsidP="00510C02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510C02">
              <w:rPr>
                <w:rFonts w:cstheme="minorHAnsi"/>
              </w:rPr>
              <w:t>$112.3M</w:t>
            </w:r>
          </w:p>
        </w:tc>
        <w:tc>
          <w:tcPr>
            <w:tcW w:w="882" w:type="dxa"/>
          </w:tcPr>
          <w:p w14:paraId="365C126B" w14:textId="767255F7" w:rsidR="00510C02" w:rsidRPr="00510C02" w:rsidRDefault="00510C02" w:rsidP="00510C02">
            <w:pPr>
              <w:pStyle w:val="NoSpacing"/>
              <w:jc w:val="right"/>
              <w:rPr>
                <w:rFonts w:cstheme="minorHAnsi"/>
                <w:b/>
                <w:bCs/>
                <w:color w:val="000000" w:themeColor="text1"/>
              </w:rPr>
            </w:pPr>
            <w:r w:rsidRPr="00510C02">
              <w:rPr>
                <w:rFonts w:cstheme="minorHAnsi"/>
                <w:color w:val="000000"/>
              </w:rPr>
              <w:t>100%</w:t>
            </w:r>
          </w:p>
        </w:tc>
        <w:tc>
          <w:tcPr>
            <w:tcW w:w="991" w:type="dxa"/>
            <w:hideMark/>
          </w:tcPr>
          <w:p w14:paraId="053B6359" w14:textId="0E833B80" w:rsidR="00510C02" w:rsidRPr="00510C02" w:rsidRDefault="00510C02" w:rsidP="00510C02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510C02">
              <w:rPr>
                <w:rFonts w:cstheme="minorHAnsi"/>
              </w:rPr>
              <w:t>-1.6%</w:t>
            </w:r>
          </w:p>
        </w:tc>
        <w:tc>
          <w:tcPr>
            <w:tcW w:w="972" w:type="dxa"/>
            <w:hideMark/>
          </w:tcPr>
          <w:p w14:paraId="525F03F4" w14:textId="6F12F50F" w:rsidR="00510C02" w:rsidRPr="00510C02" w:rsidRDefault="00510C02" w:rsidP="00510C02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510C02">
              <w:rPr>
                <w:rFonts w:cstheme="minorHAnsi"/>
              </w:rPr>
              <w:t>-5.1%</w:t>
            </w:r>
          </w:p>
        </w:tc>
        <w:tc>
          <w:tcPr>
            <w:tcW w:w="1152" w:type="dxa"/>
          </w:tcPr>
          <w:p w14:paraId="22279171" w14:textId="49B5F75B" w:rsidR="00510C02" w:rsidRPr="00510C02" w:rsidRDefault="00510C02" w:rsidP="00510C02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10C02">
              <w:rPr>
                <w:rFonts w:cstheme="minorHAnsi"/>
              </w:rPr>
              <w:t>24.6M</w:t>
            </w:r>
          </w:p>
        </w:tc>
        <w:tc>
          <w:tcPr>
            <w:tcW w:w="864" w:type="dxa"/>
          </w:tcPr>
          <w:p w14:paraId="630361CF" w14:textId="2DC4378C" w:rsidR="00510C02" w:rsidRPr="00510C02" w:rsidRDefault="00510C02" w:rsidP="00510C02">
            <w:pPr>
              <w:pStyle w:val="NoSpacing"/>
              <w:jc w:val="right"/>
              <w:rPr>
                <w:rFonts w:cstheme="minorHAnsi"/>
                <w:b/>
                <w:bCs/>
                <w:color w:val="000000" w:themeColor="text1"/>
              </w:rPr>
            </w:pPr>
            <w:r w:rsidRPr="00510C02">
              <w:rPr>
                <w:rFonts w:cstheme="minorHAnsi"/>
                <w:color w:val="000000"/>
              </w:rPr>
              <w:t>100%</w:t>
            </w:r>
          </w:p>
        </w:tc>
        <w:tc>
          <w:tcPr>
            <w:tcW w:w="1008" w:type="dxa"/>
            <w:vAlign w:val="center"/>
          </w:tcPr>
          <w:p w14:paraId="13CC202A" w14:textId="1760B681" w:rsidR="00510C02" w:rsidRPr="00510C02" w:rsidRDefault="00510C02" w:rsidP="00510C02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510C02">
              <w:rPr>
                <w:rFonts w:cstheme="minorHAnsi"/>
              </w:rPr>
              <w:t>-2.9%</w:t>
            </w:r>
          </w:p>
        </w:tc>
        <w:tc>
          <w:tcPr>
            <w:tcW w:w="864" w:type="dxa"/>
            <w:vAlign w:val="center"/>
          </w:tcPr>
          <w:p w14:paraId="18FA9632" w14:textId="46B495AD" w:rsidR="00510C02" w:rsidRPr="00510C02" w:rsidRDefault="00510C02" w:rsidP="00510C02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510C02">
              <w:rPr>
                <w:rFonts w:cstheme="minorHAnsi"/>
              </w:rPr>
              <w:t>-11.1%</w:t>
            </w:r>
          </w:p>
        </w:tc>
      </w:tr>
      <w:tr w:rsidR="00510C02" w:rsidRPr="00B25DFD" w14:paraId="145D73B9" w14:textId="77777777" w:rsidTr="0051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48" w:type="dxa"/>
            <w:hideMark/>
          </w:tcPr>
          <w:p w14:paraId="78B4D2F2" w14:textId="77777777" w:rsidR="00510C02" w:rsidRPr="00510C02" w:rsidRDefault="00510C02" w:rsidP="00510C02">
            <w:pPr>
              <w:rPr>
                <w:rFonts w:cstheme="minorHAnsi"/>
              </w:rPr>
            </w:pPr>
            <w:r w:rsidRPr="00510C02">
              <w:rPr>
                <w:rFonts w:eastAsia="Calibri" w:cstheme="minorHAnsi"/>
                <w:color w:val="000000" w:themeColor="text1"/>
                <w:kern w:val="24"/>
              </w:rPr>
              <w:t>White mushrooms</w:t>
            </w:r>
          </w:p>
        </w:tc>
        <w:tc>
          <w:tcPr>
            <w:tcW w:w="1168" w:type="dxa"/>
            <w:hideMark/>
          </w:tcPr>
          <w:p w14:paraId="4C0D7E28" w14:textId="137B8CD8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</w:rPr>
              <w:t>$55.7M</w:t>
            </w:r>
          </w:p>
        </w:tc>
        <w:tc>
          <w:tcPr>
            <w:tcW w:w="882" w:type="dxa"/>
          </w:tcPr>
          <w:p w14:paraId="3CADA244" w14:textId="6F6C2253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  <w:color w:val="000000"/>
              </w:rPr>
              <w:t>48.7%</w:t>
            </w:r>
          </w:p>
        </w:tc>
        <w:tc>
          <w:tcPr>
            <w:tcW w:w="991" w:type="dxa"/>
            <w:hideMark/>
          </w:tcPr>
          <w:p w14:paraId="6C36ED75" w14:textId="32265FEB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</w:rPr>
              <w:t>-2.7%</w:t>
            </w:r>
          </w:p>
        </w:tc>
        <w:tc>
          <w:tcPr>
            <w:tcW w:w="972" w:type="dxa"/>
            <w:hideMark/>
          </w:tcPr>
          <w:p w14:paraId="12408AC8" w14:textId="3D83B335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</w:rPr>
              <w:t>-9.5%</w:t>
            </w:r>
          </w:p>
        </w:tc>
        <w:tc>
          <w:tcPr>
            <w:tcW w:w="1152" w:type="dxa"/>
          </w:tcPr>
          <w:p w14:paraId="5118D613" w14:textId="7F1A13E9" w:rsidR="00510C02" w:rsidRPr="00510C02" w:rsidRDefault="00510C02" w:rsidP="00510C02">
            <w:pPr>
              <w:pStyle w:val="NoSpacing"/>
              <w:jc w:val="center"/>
              <w:rPr>
                <w:rFonts w:cstheme="minorHAnsi"/>
              </w:rPr>
            </w:pPr>
            <w:r w:rsidRPr="00510C02">
              <w:rPr>
                <w:rFonts w:cstheme="minorHAnsi"/>
              </w:rPr>
              <w:t>13.7M</w:t>
            </w:r>
          </w:p>
        </w:tc>
        <w:tc>
          <w:tcPr>
            <w:tcW w:w="864" w:type="dxa"/>
          </w:tcPr>
          <w:p w14:paraId="40D97251" w14:textId="521FF250" w:rsidR="00510C02" w:rsidRPr="00510C02" w:rsidRDefault="00510C02" w:rsidP="00510C02">
            <w:pPr>
              <w:pStyle w:val="NoSpacing"/>
              <w:tabs>
                <w:tab w:val="left" w:pos="510"/>
                <w:tab w:val="right" w:pos="674"/>
              </w:tabs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  <w:color w:val="000000"/>
              </w:rPr>
              <w:t>55.7%</w:t>
            </w:r>
          </w:p>
        </w:tc>
        <w:tc>
          <w:tcPr>
            <w:tcW w:w="1008" w:type="dxa"/>
            <w:vAlign w:val="center"/>
          </w:tcPr>
          <w:p w14:paraId="710357FA" w14:textId="3B28D413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</w:rPr>
              <w:t>-3.0%</w:t>
            </w:r>
          </w:p>
        </w:tc>
        <w:tc>
          <w:tcPr>
            <w:tcW w:w="864" w:type="dxa"/>
            <w:vAlign w:val="center"/>
          </w:tcPr>
          <w:p w14:paraId="285307C2" w14:textId="0745EF6D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</w:rPr>
              <w:t>-15.1%</w:t>
            </w:r>
          </w:p>
        </w:tc>
      </w:tr>
      <w:tr w:rsidR="002E6000" w:rsidRPr="00B25DFD" w14:paraId="716CD0FE" w14:textId="77777777" w:rsidTr="00510C02">
        <w:trPr>
          <w:trHeight w:val="20"/>
        </w:trPr>
        <w:tc>
          <w:tcPr>
            <w:tcW w:w="2448" w:type="dxa"/>
          </w:tcPr>
          <w:p w14:paraId="0FA3EA16" w14:textId="7BE5ADF4" w:rsidR="002E6000" w:rsidRDefault="002E6000" w:rsidP="00510C02">
            <w:pPr>
              <w:rPr>
                <w:rFonts w:eastAsia="Calibri" w:cstheme="minorHAnsi"/>
                <w:color w:val="000000" w:themeColor="text1"/>
                <w:kern w:val="24"/>
              </w:rPr>
            </w:pPr>
            <w:r>
              <w:rPr>
                <w:rFonts w:eastAsia="Calibri" w:cstheme="minorHAnsi"/>
                <w:color w:val="000000" w:themeColor="text1"/>
                <w:kern w:val="24"/>
              </w:rPr>
              <w:t>Crimini mushrooms</w:t>
            </w:r>
          </w:p>
        </w:tc>
        <w:tc>
          <w:tcPr>
            <w:tcW w:w="1168" w:type="dxa"/>
          </w:tcPr>
          <w:p w14:paraId="1E580BCF" w14:textId="3E578067" w:rsidR="002E6000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$40.1</w:t>
            </w:r>
            <w:r w:rsidR="0089208F">
              <w:rPr>
                <w:rFonts w:cstheme="minorHAnsi"/>
              </w:rPr>
              <w:t>M</w:t>
            </w:r>
          </w:p>
        </w:tc>
        <w:tc>
          <w:tcPr>
            <w:tcW w:w="882" w:type="dxa"/>
          </w:tcPr>
          <w:p w14:paraId="32C9D86B" w14:textId="469EBF10" w:rsidR="002E6000" w:rsidRPr="00510C02" w:rsidRDefault="002E6000" w:rsidP="00510C02">
            <w:pPr>
              <w:pStyle w:val="NoSpacing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35.7%</w:t>
            </w:r>
          </w:p>
        </w:tc>
        <w:tc>
          <w:tcPr>
            <w:tcW w:w="991" w:type="dxa"/>
          </w:tcPr>
          <w:p w14:paraId="04806102" w14:textId="350089E0" w:rsidR="002E6000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-2.0%</w:t>
            </w:r>
          </w:p>
        </w:tc>
        <w:tc>
          <w:tcPr>
            <w:tcW w:w="972" w:type="dxa"/>
          </w:tcPr>
          <w:p w14:paraId="4C163EED" w14:textId="6D289D7A" w:rsidR="002E6000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+4.6%</w:t>
            </w:r>
          </w:p>
        </w:tc>
        <w:tc>
          <w:tcPr>
            <w:tcW w:w="1152" w:type="dxa"/>
          </w:tcPr>
          <w:p w14:paraId="0C78E297" w14:textId="69440F0E" w:rsidR="002E6000" w:rsidRPr="00510C02" w:rsidRDefault="002E6000" w:rsidP="00510C0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8.7M</w:t>
            </w:r>
          </w:p>
        </w:tc>
        <w:tc>
          <w:tcPr>
            <w:tcW w:w="864" w:type="dxa"/>
          </w:tcPr>
          <w:p w14:paraId="14998231" w14:textId="3A223831" w:rsidR="002E6000" w:rsidRPr="00510C02" w:rsidRDefault="002E6000" w:rsidP="00510C02">
            <w:pPr>
              <w:pStyle w:val="NoSpacing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35.2%</w:t>
            </w:r>
          </w:p>
        </w:tc>
        <w:tc>
          <w:tcPr>
            <w:tcW w:w="1008" w:type="dxa"/>
            <w:vAlign w:val="center"/>
          </w:tcPr>
          <w:p w14:paraId="60244247" w14:textId="7CA16D7F" w:rsidR="002E6000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-3.1%</w:t>
            </w:r>
          </w:p>
        </w:tc>
        <w:tc>
          <w:tcPr>
            <w:tcW w:w="864" w:type="dxa"/>
            <w:vAlign w:val="center"/>
          </w:tcPr>
          <w:p w14:paraId="6A0F8BA3" w14:textId="7D0D5FEB" w:rsidR="002E6000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-1.5%</w:t>
            </w:r>
          </w:p>
        </w:tc>
      </w:tr>
      <w:tr w:rsidR="00510C02" w:rsidRPr="00B25DFD" w14:paraId="57FEBDF7" w14:textId="77777777" w:rsidTr="002E6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48" w:type="dxa"/>
            <w:hideMark/>
          </w:tcPr>
          <w:p w14:paraId="602D364E" w14:textId="3DDD20F1" w:rsidR="00510C02" w:rsidRPr="00510C02" w:rsidRDefault="002E6000" w:rsidP="00510C02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 w:themeColor="text1"/>
                <w:kern w:val="24"/>
              </w:rPr>
              <w:t xml:space="preserve">Portabella </w:t>
            </w:r>
            <w:r w:rsidR="00510C02" w:rsidRPr="00510C02">
              <w:rPr>
                <w:rFonts w:eastAsia="Calibri" w:cstheme="minorHAnsi"/>
                <w:color w:val="000000" w:themeColor="text1"/>
                <w:kern w:val="24"/>
              </w:rPr>
              <w:t>mushrooms</w:t>
            </w:r>
          </w:p>
        </w:tc>
        <w:tc>
          <w:tcPr>
            <w:tcW w:w="1168" w:type="dxa"/>
          </w:tcPr>
          <w:p w14:paraId="41892DB8" w14:textId="3DE5D326" w:rsidR="00510C02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$8.2</w:t>
            </w:r>
            <w:r w:rsidR="0089208F">
              <w:rPr>
                <w:rFonts w:cstheme="minorHAnsi"/>
              </w:rPr>
              <w:t>M</w:t>
            </w:r>
          </w:p>
        </w:tc>
        <w:tc>
          <w:tcPr>
            <w:tcW w:w="882" w:type="dxa"/>
          </w:tcPr>
          <w:p w14:paraId="46ABCE73" w14:textId="587A404E" w:rsidR="00510C02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7.3%</w:t>
            </w:r>
          </w:p>
        </w:tc>
        <w:tc>
          <w:tcPr>
            <w:tcW w:w="991" w:type="dxa"/>
          </w:tcPr>
          <w:p w14:paraId="481BED1D" w14:textId="2249661D" w:rsidR="00510C02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-4.0%</w:t>
            </w:r>
          </w:p>
        </w:tc>
        <w:tc>
          <w:tcPr>
            <w:tcW w:w="972" w:type="dxa"/>
          </w:tcPr>
          <w:p w14:paraId="72645B7B" w14:textId="70A59BD5" w:rsidR="00510C02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-24.5%</w:t>
            </w:r>
          </w:p>
        </w:tc>
        <w:tc>
          <w:tcPr>
            <w:tcW w:w="1152" w:type="dxa"/>
          </w:tcPr>
          <w:p w14:paraId="0F1677BF" w14:textId="301A823A" w:rsidR="00510C02" w:rsidRPr="00510C02" w:rsidRDefault="002E6000" w:rsidP="00510C0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1.6M</w:t>
            </w:r>
          </w:p>
        </w:tc>
        <w:tc>
          <w:tcPr>
            <w:tcW w:w="864" w:type="dxa"/>
          </w:tcPr>
          <w:p w14:paraId="6BFC89D0" w14:textId="34FDABE0" w:rsidR="00510C02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6.4%</w:t>
            </w:r>
          </w:p>
        </w:tc>
        <w:tc>
          <w:tcPr>
            <w:tcW w:w="1008" w:type="dxa"/>
            <w:vAlign w:val="center"/>
          </w:tcPr>
          <w:p w14:paraId="523FEFF1" w14:textId="22A07FD2" w:rsidR="00510C02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-6.7%</w:t>
            </w:r>
          </w:p>
        </w:tc>
        <w:tc>
          <w:tcPr>
            <w:tcW w:w="864" w:type="dxa"/>
            <w:vAlign w:val="center"/>
          </w:tcPr>
          <w:p w14:paraId="79E4C24B" w14:textId="1E294B5E" w:rsidR="00510C02" w:rsidRPr="00510C02" w:rsidRDefault="002E6000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-24.8%</w:t>
            </w:r>
          </w:p>
        </w:tc>
      </w:tr>
      <w:tr w:rsidR="00510C02" w:rsidRPr="00B25DFD" w14:paraId="7E4A2AE4" w14:textId="77777777" w:rsidTr="00510C02">
        <w:trPr>
          <w:trHeight w:val="20"/>
        </w:trPr>
        <w:tc>
          <w:tcPr>
            <w:tcW w:w="2448" w:type="dxa"/>
            <w:hideMark/>
          </w:tcPr>
          <w:p w14:paraId="62CA9D59" w14:textId="77777777" w:rsidR="00510C02" w:rsidRPr="00510C02" w:rsidRDefault="00510C02" w:rsidP="00510C02">
            <w:pPr>
              <w:rPr>
                <w:rFonts w:cstheme="minorHAnsi"/>
              </w:rPr>
            </w:pPr>
            <w:r w:rsidRPr="00510C02">
              <w:rPr>
                <w:rFonts w:eastAsia="Calibri" w:cstheme="minorHAnsi"/>
                <w:color w:val="000000" w:themeColor="text1"/>
                <w:kern w:val="24"/>
              </w:rPr>
              <w:t>Specialty mushrooms</w:t>
            </w:r>
          </w:p>
        </w:tc>
        <w:tc>
          <w:tcPr>
            <w:tcW w:w="1168" w:type="dxa"/>
            <w:hideMark/>
          </w:tcPr>
          <w:p w14:paraId="12033966" w14:textId="697539BA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</w:rPr>
              <w:t>$9.4M</w:t>
            </w:r>
          </w:p>
        </w:tc>
        <w:tc>
          <w:tcPr>
            <w:tcW w:w="882" w:type="dxa"/>
          </w:tcPr>
          <w:p w14:paraId="20BDBE45" w14:textId="0CEB9D57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  <w:color w:val="000000"/>
              </w:rPr>
              <w:t>8.4%</w:t>
            </w:r>
          </w:p>
        </w:tc>
        <w:tc>
          <w:tcPr>
            <w:tcW w:w="991" w:type="dxa"/>
            <w:hideMark/>
          </w:tcPr>
          <w:p w14:paraId="2A392A18" w14:textId="65159E59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</w:rPr>
              <w:t>+10.0%</w:t>
            </w:r>
          </w:p>
        </w:tc>
        <w:tc>
          <w:tcPr>
            <w:tcW w:w="972" w:type="dxa"/>
            <w:hideMark/>
          </w:tcPr>
          <w:p w14:paraId="6E10AA11" w14:textId="713C322E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</w:rPr>
              <w:t>+6.2%</w:t>
            </w:r>
          </w:p>
        </w:tc>
        <w:tc>
          <w:tcPr>
            <w:tcW w:w="1152" w:type="dxa"/>
          </w:tcPr>
          <w:p w14:paraId="105935BB" w14:textId="6BD02B30" w:rsidR="00510C02" w:rsidRPr="00510C02" w:rsidRDefault="00510C02" w:rsidP="00510C02">
            <w:pPr>
              <w:pStyle w:val="NoSpacing"/>
              <w:jc w:val="center"/>
              <w:rPr>
                <w:rFonts w:cstheme="minorHAnsi"/>
              </w:rPr>
            </w:pPr>
            <w:r w:rsidRPr="00510C02">
              <w:rPr>
                <w:rFonts w:cstheme="minorHAnsi"/>
              </w:rPr>
              <w:t>0.7M</w:t>
            </w:r>
          </w:p>
        </w:tc>
        <w:tc>
          <w:tcPr>
            <w:tcW w:w="864" w:type="dxa"/>
          </w:tcPr>
          <w:p w14:paraId="496EFB9C" w14:textId="7D5715CD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 w:rsidRPr="00510C02">
              <w:rPr>
                <w:rFonts w:cstheme="minorHAnsi"/>
                <w:color w:val="000000"/>
              </w:rPr>
              <w:t>2.7%</w:t>
            </w:r>
          </w:p>
        </w:tc>
        <w:tc>
          <w:tcPr>
            <w:tcW w:w="1008" w:type="dxa"/>
            <w:vAlign w:val="center"/>
          </w:tcPr>
          <w:p w14:paraId="41B75DBF" w14:textId="1FFA4FF6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 w:rsidRPr="00510C02">
              <w:rPr>
                <w:rFonts w:cstheme="minorHAnsi"/>
              </w:rPr>
              <w:t>12.3%</w:t>
            </w:r>
          </w:p>
        </w:tc>
        <w:tc>
          <w:tcPr>
            <w:tcW w:w="864" w:type="dxa"/>
            <w:vAlign w:val="center"/>
          </w:tcPr>
          <w:p w14:paraId="32944C91" w14:textId="60DA569C" w:rsidR="00510C02" w:rsidRPr="00510C02" w:rsidRDefault="00510C02" w:rsidP="00510C0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 w:rsidRPr="00510C02">
              <w:rPr>
                <w:rFonts w:cstheme="minorHAnsi"/>
              </w:rPr>
              <w:t>1.7%</w:t>
            </w:r>
          </w:p>
        </w:tc>
      </w:tr>
    </w:tbl>
    <w:bookmarkEnd w:id="1"/>
    <w:p w14:paraId="7E5C7352" w14:textId="1D88AA53" w:rsidR="00E25C6B" w:rsidRDefault="00E25C6B" w:rsidP="00E25C6B">
      <w:pPr>
        <w:pStyle w:val="NoSpacing"/>
        <w:spacing w:before="120"/>
        <w:rPr>
          <w:color w:val="7F7F7F" w:themeColor="text1" w:themeTint="80"/>
          <w:sz w:val="16"/>
          <w:szCs w:val="16"/>
        </w:rPr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r>
        <w:rPr>
          <w:color w:val="7F7F7F" w:themeColor="text1" w:themeTint="80"/>
          <w:sz w:val="16"/>
          <w:szCs w:val="16"/>
        </w:rPr>
        <w:t>Circana</w:t>
      </w:r>
      <w:r w:rsidRPr="00555250">
        <w:rPr>
          <w:color w:val="7F7F7F" w:themeColor="text1" w:themeTint="80"/>
          <w:sz w:val="16"/>
          <w:szCs w:val="16"/>
        </w:rPr>
        <w:t xml:space="preserve">, Integrated Fresh, </w:t>
      </w:r>
      <w:r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>
        <w:rPr>
          <w:color w:val="7F7F7F" w:themeColor="text1" w:themeTint="80"/>
          <w:sz w:val="16"/>
          <w:szCs w:val="16"/>
        </w:rPr>
        <w:t>4</w:t>
      </w:r>
      <w:r w:rsidRPr="00555250">
        <w:rPr>
          <w:color w:val="7F7F7F" w:themeColor="text1" w:themeTint="80"/>
          <w:sz w:val="16"/>
          <w:szCs w:val="16"/>
        </w:rPr>
        <w:t xml:space="preserve"> weeks ending </w:t>
      </w:r>
      <w:r w:rsidR="006C1B19">
        <w:rPr>
          <w:color w:val="7F7F7F" w:themeColor="text1" w:themeTint="80"/>
          <w:sz w:val="16"/>
          <w:szCs w:val="16"/>
        </w:rPr>
        <w:t>11/3/2024</w:t>
      </w:r>
    </w:p>
    <w:p w14:paraId="47E14816" w14:textId="77777777" w:rsidR="00E25C6B" w:rsidRDefault="00E25C6B" w:rsidP="005E7FB2">
      <w:pPr>
        <w:pStyle w:val="NoSpacing"/>
      </w:pPr>
    </w:p>
    <w:p w14:paraId="14458122" w14:textId="6090E00D" w:rsidR="000E0D6B" w:rsidRDefault="00D3797F" w:rsidP="005E7FB2">
      <w:pPr>
        <w:pStyle w:val="NoSpacing"/>
      </w:pPr>
      <w:r>
        <w:t xml:space="preserve">Reflecting typical quad-week </w:t>
      </w:r>
      <w:r w:rsidR="001B68E6">
        <w:t>1</w:t>
      </w:r>
      <w:r w:rsidR="0090384F">
        <w:t>1</w:t>
      </w:r>
      <w:r w:rsidR="001B68E6">
        <w:t xml:space="preserve"> </w:t>
      </w:r>
      <w:r>
        <w:t xml:space="preserve">patterns, volume sales </w:t>
      </w:r>
      <w:r w:rsidR="001B68E6">
        <w:t xml:space="preserve">gained steam </w:t>
      </w:r>
      <w:r>
        <w:t xml:space="preserve">in the four weeks ending </w:t>
      </w:r>
      <w:r w:rsidR="0090384F">
        <w:t>November 3</w:t>
      </w:r>
      <w:r w:rsidR="0090384F" w:rsidRPr="0090384F">
        <w:rPr>
          <w:vertAlign w:val="superscript"/>
        </w:rPr>
        <w:t>rd</w:t>
      </w:r>
      <w:r w:rsidR="00865920">
        <w:t>, 2024. At +</w:t>
      </w:r>
      <w:r w:rsidR="0090384F">
        <w:t>1.3</w:t>
      </w:r>
      <w:r>
        <w:t>%, the increase versus the prior quad-week was similar to the growth seen in</w:t>
      </w:r>
      <w:r w:rsidR="0090384F">
        <w:t xml:space="preserve"> prior years</w:t>
      </w:r>
      <w:r>
        <w:t xml:space="preserve">. Mushroom volume sales typically gear up between now and January </w:t>
      </w:r>
      <w:r w:rsidR="005E7FB2">
        <w:t>(see forecasting tab</w:t>
      </w:r>
      <w:r>
        <w:t xml:space="preserve"> in the data spreadsheet for more information</w:t>
      </w:r>
      <w:r w:rsidR="005E7FB2">
        <w:t>)</w:t>
      </w:r>
      <w:r w:rsidR="00E72D31">
        <w:t>.</w:t>
      </w:r>
    </w:p>
    <w:p w14:paraId="2BFEB89E" w14:textId="40301BD5" w:rsidR="0090384F" w:rsidRDefault="0090384F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10A894BF" w14:textId="77777777" w:rsidR="005E7FB2" w:rsidRPr="00E72D31" w:rsidRDefault="005E7FB2" w:rsidP="005E7FB2">
      <w:pPr>
        <w:pStyle w:val="NoSpacing"/>
        <w:rPr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10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E7FB2" w:rsidRPr="005E7FB2" w14:paraId="552B7DD4" w14:textId="77777777" w:rsidTr="00D3797F">
        <w:trPr>
          <w:trHeight w:val="5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14:paraId="54AA7F04" w14:textId="77777777" w:rsidR="005E7FB2" w:rsidRPr="00D3797F" w:rsidRDefault="005E7FB2" w:rsidP="005E7FB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en-GB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en-GB" w:eastAsia="nl-NL"/>
              </w:rPr>
              <w:t>Pound growth rates versus PRIOR PERIOD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BD79E2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09DB5F58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3FE55B48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CEBA85B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7A684AC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A3C9D9E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727775C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6BEE937B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3A9CD271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D41FD2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799EC01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46FFC19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CB2DF40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13</w:t>
            </w:r>
          </w:p>
        </w:tc>
      </w:tr>
      <w:tr w:rsidR="0022081A" w:rsidRPr="005E7FB2" w14:paraId="6700F574" w14:textId="77777777" w:rsidTr="0090384F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1738" w14:textId="44F8C944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99273B8" w14:textId="2769A82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26E3269" w14:textId="1BD4C9C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890BFE9" w14:textId="512E1B8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41F185A" w14:textId="5F88FDB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7F5EBD7" w14:textId="6F16CC6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0658B53" w14:textId="6431DAB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29E9811" w14:textId="0E7D3E45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3C7E65" w14:textId="7A39F215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C9C7B3" w14:textId="22CDEED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FF0428" w14:textId="0E897EAF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4D4F3C1C" w14:textId="2BC57DA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3C1E63F" w14:textId="63C2B643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7.9%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0AAE430" w14:textId="39CB6A3B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7.3%</w:t>
            </w:r>
          </w:p>
        </w:tc>
      </w:tr>
      <w:tr w:rsidR="0022081A" w:rsidRPr="005E7FB2" w14:paraId="26A9F9D1" w14:textId="77777777" w:rsidTr="00B07D7F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243" w14:textId="4FEEA250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4C19620" w14:textId="741DDAFD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1A935E6" w14:textId="644FD17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857E16" w14:textId="4E28556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3430169" w14:textId="19E32299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C99F6E2" w14:textId="21A9C7E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9A0F87E" w14:textId="264A0EB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F69E30D" w14:textId="33A7B78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C382510" w14:textId="27EBF64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40F2D19F" w14:textId="6265E2E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608F83" w14:textId="28AC80C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196E6AC3" w14:textId="05BAC47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C0269F8" w14:textId="20228B40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9.4%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3A83299" w14:textId="33C1E1CF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4.1%</w:t>
            </w:r>
          </w:p>
        </w:tc>
      </w:tr>
      <w:tr w:rsidR="0022081A" w:rsidRPr="005E7FB2" w14:paraId="765FD8B7" w14:textId="77777777" w:rsidTr="00B07D7F">
        <w:trPr>
          <w:trHeight w:val="27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F6C" w14:textId="2285FC46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2E22A6D" w14:textId="6EB8996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6.6%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982696B" w14:textId="1C81D99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-4.4%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B131532" w14:textId="5FE7E180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6210B83" w14:textId="167DB0B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CC36D3D" w14:textId="4E5AC97D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042B665" w14:textId="28D3157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-3.1%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A5C167C" w14:textId="37A7675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-3.9%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9D76C10" w14:textId="14A8BC5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-2.4%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4859738F" w14:textId="44D8F36D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3.4%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2AB3154F" w14:textId="50FF31E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334541CE" w14:textId="07E9B5E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0.4%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2FA47F8" w14:textId="75EFEC03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b/>
                <w:bCs/>
                <w:sz w:val="16"/>
                <w:szCs w:val="16"/>
              </w:rPr>
              <w:t>8.1%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6A7972F" w14:textId="3A813AD3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b/>
                <w:bCs/>
                <w:sz w:val="16"/>
                <w:szCs w:val="16"/>
              </w:rPr>
              <w:t>4.6%</w:t>
            </w:r>
          </w:p>
        </w:tc>
      </w:tr>
      <w:tr w:rsidR="0022081A" w:rsidRPr="005E7FB2" w14:paraId="37295F83" w14:textId="77777777" w:rsidTr="002E6000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1E0" w14:textId="30320307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1C55FB5" w14:textId="7B917AC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3.1%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BF57AB9" w14:textId="377542A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371C820" w14:textId="4C195299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12.5%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2F1740F4" w14:textId="6573950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5.0%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A239580" w14:textId="1AF54E90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22B2691" w14:textId="06E8829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-8.3%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C736510" w14:textId="2E0A8EC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1F8EF3B" w14:textId="3084F7AF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FE6ACC" w14:textId="4CF3777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53EF12" w14:textId="57126CB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3B077303" w14:textId="6BB36BE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27D3FC1A" w14:textId="45BB6717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4.8%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A7B4C43" w14:textId="4F8AE9EE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4.0%</w:t>
            </w:r>
          </w:p>
        </w:tc>
      </w:tr>
      <w:tr w:rsidR="0022081A" w:rsidRPr="005E7FB2" w14:paraId="7BFB53F4" w14:textId="77777777" w:rsidTr="002E6000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EEC5" w14:textId="09C21100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171CEAB" w14:textId="702C1AA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5.2%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6121419" w14:textId="0AFE3CE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-5.5%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E99A95E" w14:textId="312EC98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8037FE1" w14:textId="667AF71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94DB792" w14:textId="4B38AED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5885E43" w14:textId="43DBDEE0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B9524B4" w14:textId="18A39BF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-5.8%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  <w:hideMark/>
          </w:tcPr>
          <w:p w14:paraId="63ADEA99" w14:textId="12DBB89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220DEE4A" w14:textId="1EA1099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7B4648" w14:textId="3C1A188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1343F0E1" w14:textId="3A2F197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7CAE79" w14:textId="37C59686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5.3%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A3E1D6B" w14:textId="69A2E625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2.6%</w:t>
            </w:r>
          </w:p>
        </w:tc>
      </w:tr>
      <w:tr w:rsidR="0022081A" w:rsidRPr="005E7FB2" w14:paraId="1317160F" w14:textId="77777777" w:rsidTr="00865920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FC8" w14:textId="0044201A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A5A5D82" w14:textId="455AE4A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3.4%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7C215D2" w14:textId="28C3D18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BCC1213" w14:textId="080B0D9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EDE353F" w14:textId="4231322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DADA3A1" w14:textId="79316DB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96B2722" w14:textId="5A54E31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EC946C7" w14:textId="6FDEBDC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AAD0AD9" w14:textId="7D28D1C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85F668" w14:textId="22AD7EF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6D4AC9DF" w14:textId="384B672F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92F64E6" w14:textId="1887037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3.7%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A3EB32E" w14:textId="29BEB365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8.0%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6CCD92" w14:textId="349343C2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1.5%</w:t>
            </w:r>
          </w:p>
        </w:tc>
      </w:tr>
      <w:tr w:rsidR="0022081A" w:rsidRPr="005E7FB2" w14:paraId="632BDF7D" w14:textId="77777777" w:rsidTr="002E6000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03E1" w14:textId="2EDCD2D3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BFC50D" w14:textId="120F89A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3F7565F" w14:textId="5FD12BD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2B93B66" w14:textId="02C951C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7289D6E" w14:textId="221A22A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C2C7BF2" w14:textId="09DD6475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19BDDD6" w14:textId="3E892E0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39A3C4D" w14:textId="1B76B07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F081C7B" w14:textId="6252032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39719A" w14:textId="4D47F339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C7EF64" w14:textId="3992554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4C37D659" w14:textId="2551D83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526FA76" w14:textId="6E548985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9.1%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634A73" w14:textId="1788A2BE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0.8%</w:t>
            </w:r>
          </w:p>
        </w:tc>
      </w:tr>
      <w:tr w:rsidR="00105C56" w:rsidRPr="005E7FB2" w14:paraId="02AC87C2" w14:textId="77777777" w:rsidTr="0090384F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A3B7" w14:textId="4E6703B2" w:rsidR="00105C56" w:rsidRPr="0022081A" w:rsidRDefault="00105C56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7A6D22" w14:textId="31219C65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B9A064" w14:textId="63C77521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44B23E1" w14:textId="79062F95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1AC127A" w14:textId="5996A06C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14DC4CF" w14:textId="319FF531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F842805" w14:textId="4AA6E157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C001417" w14:textId="79753CF0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  <w:hideMark/>
          </w:tcPr>
          <w:p w14:paraId="375723A5" w14:textId="574D8BED" w:rsidR="00105C56" w:rsidRPr="00105C56" w:rsidRDefault="00105C56" w:rsidP="00105C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105C56">
              <w:rPr>
                <w:rFonts w:eastAsia="Times New Roman" w:cstheme="minorHAnsi"/>
                <w:sz w:val="16"/>
                <w:szCs w:val="16"/>
                <w:lang w:eastAsia="nl-NL"/>
              </w:rPr>
              <w:t>-0,6%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14:paraId="63A52816" w14:textId="7A64AA39" w:rsidR="00105C56" w:rsidRPr="0022081A" w:rsidRDefault="00E4705F" w:rsidP="00E4705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nl-NL" w:eastAsia="nl-NL"/>
              </w:rPr>
              <w:t>2.9%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24FF4F0E" w14:textId="4E925BF1" w:rsidR="00105C56" w:rsidRPr="0022081A" w:rsidRDefault="00865920" w:rsidP="0086592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nl-NL" w:eastAsia="nl-NL"/>
              </w:rPr>
              <w:t>0.7%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718884F4" w14:textId="770CD77B" w:rsidR="00105C56" w:rsidRPr="0022081A" w:rsidRDefault="002E6000" w:rsidP="002E600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nl-NL" w:eastAsia="nl-NL"/>
              </w:rPr>
              <w:t>1.3%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7FAD" w14:textId="77777777" w:rsidR="00105C56" w:rsidRPr="0022081A" w:rsidRDefault="00105C56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D37" w14:textId="77777777" w:rsidR="00105C56" w:rsidRPr="005E7FB2" w:rsidRDefault="00105C56" w:rsidP="0022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</w:tbl>
    <w:p w14:paraId="0A7B459F" w14:textId="77777777" w:rsidR="0022081A" w:rsidRPr="00E72D31" w:rsidRDefault="0022081A" w:rsidP="000E0D6B">
      <w:pPr>
        <w:pStyle w:val="NoSpacing"/>
        <w:rPr>
          <w:color w:val="7F7F7F" w:themeColor="text1" w:themeTint="80"/>
          <w:sz w:val="6"/>
          <w:szCs w:val="6"/>
        </w:rPr>
      </w:pPr>
    </w:p>
    <w:p w14:paraId="6771805F" w14:textId="5F384E3C" w:rsidR="005E7FB2" w:rsidRPr="000E0D6B" w:rsidRDefault="005E7FB2" w:rsidP="000E0D6B">
      <w:pPr>
        <w:pStyle w:val="NoSpacing"/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r>
        <w:rPr>
          <w:color w:val="7F7F7F" w:themeColor="text1" w:themeTint="80"/>
          <w:sz w:val="16"/>
          <w:szCs w:val="16"/>
        </w:rPr>
        <w:t>Circana</w:t>
      </w:r>
      <w:r w:rsidRPr="00555250">
        <w:rPr>
          <w:color w:val="7F7F7F" w:themeColor="text1" w:themeTint="80"/>
          <w:sz w:val="16"/>
          <w:szCs w:val="16"/>
        </w:rPr>
        <w:t xml:space="preserve">, Integrated Fresh, </w:t>
      </w:r>
      <w:r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>
        <w:rPr>
          <w:color w:val="7F7F7F" w:themeColor="text1" w:themeTint="80"/>
          <w:sz w:val="16"/>
          <w:szCs w:val="16"/>
        </w:rPr>
        <w:t>quad weeks 2017-2024</w:t>
      </w:r>
      <w:r>
        <w:br w:type="textWrapping" w:clear="all"/>
      </w:r>
    </w:p>
    <w:p w14:paraId="2A45DBD8" w14:textId="573B7B08" w:rsidR="00666D40" w:rsidRPr="00D3797F" w:rsidRDefault="00666D40" w:rsidP="00927EAC">
      <w:pPr>
        <w:pStyle w:val="Heading2"/>
        <w:rPr>
          <w:b/>
          <w:bCs/>
          <w:color w:val="800000"/>
        </w:rPr>
      </w:pPr>
      <w:r w:rsidRPr="00D3797F">
        <w:rPr>
          <w:b/>
          <w:bCs/>
          <w:color w:val="800000"/>
        </w:rPr>
        <w:t>Inflation</w:t>
      </w:r>
      <w:r w:rsidR="00D3797F">
        <w:rPr>
          <w:b/>
          <w:bCs/>
          <w:color w:val="800000"/>
        </w:rPr>
        <w:t xml:space="preserve"> and promotions</w:t>
      </w:r>
    </w:p>
    <w:p w14:paraId="4A3C02BB" w14:textId="1464B064" w:rsidR="00666D40" w:rsidRDefault="00030ABF" w:rsidP="00472B02">
      <w:pPr>
        <w:pStyle w:val="NoSpacing"/>
      </w:pPr>
      <w:r>
        <w:t>M</w:t>
      </w:r>
      <w:r w:rsidR="000E2A1D">
        <w:t xml:space="preserve">ushroom prices </w:t>
      </w:r>
      <w:r w:rsidR="00AD75ED">
        <w:t>in</w:t>
      </w:r>
      <w:r w:rsidR="00157136">
        <w:t>creased</w:t>
      </w:r>
      <w:r w:rsidR="00024D78">
        <w:t xml:space="preserve"> </w:t>
      </w:r>
      <w:r w:rsidR="00AD75ED">
        <w:t xml:space="preserve">slightly </w:t>
      </w:r>
      <w:r w:rsidR="00024D78">
        <w:t>over the</w:t>
      </w:r>
      <w:r w:rsidR="00AD75ED">
        <w:t xml:space="preserve"> past four weeks</w:t>
      </w:r>
      <w:r w:rsidR="00157136">
        <w:t>, both on a per unit and per pound basis</w:t>
      </w:r>
      <w:r w:rsidR="006A1766">
        <w:t xml:space="preserve">. </w:t>
      </w:r>
      <w:r w:rsidR="0090384F">
        <w:t xml:space="preserve">Across all types and sizes, the average package price reached $3.04, up 2.1% from last year. </w:t>
      </w:r>
      <w:r w:rsidR="00024D78">
        <w:t xml:space="preserve">During the </w:t>
      </w:r>
      <w:r w:rsidR="00AD75ED">
        <w:t>full year,</w:t>
      </w:r>
      <w:r w:rsidR="00024D78">
        <w:t xml:space="preserve"> prices </w:t>
      </w:r>
      <w:r w:rsidR="0090384F">
        <w:t>increased nearly 1% on a per unit basis</w:t>
      </w:r>
      <w:r w:rsidR="00024D78">
        <w:t xml:space="preserve">. </w:t>
      </w:r>
      <w:r w:rsidR="000E2A1D">
        <w:t xml:space="preserve"> </w:t>
      </w:r>
    </w:p>
    <w:p w14:paraId="484C35C9" w14:textId="2EB83AFC" w:rsidR="0094219B" w:rsidRPr="00E72D31" w:rsidRDefault="0094219B" w:rsidP="00472B02">
      <w:pPr>
        <w:pStyle w:val="NoSpacing"/>
        <w:rPr>
          <w:sz w:val="10"/>
          <w:szCs w:val="10"/>
        </w:rPr>
      </w:pPr>
    </w:p>
    <w:tbl>
      <w:tblPr>
        <w:tblStyle w:val="ListTable3-Accent3"/>
        <w:tblW w:w="10075" w:type="dxa"/>
        <w:tblLook w:val="04A0" w:firstRow="1" w:lastRow="0" w:firstColumn="1" w:lastColumn="0" w:noHBand="0" w:noVBand="1"/>
      </w:tblPr>
      <w:tblGrid>
        <w:gridCol w:w="2875"/>
        <w:gridCol w:w="304"/>
        <w:gridCol w:w="1146"/>
        <w:gridCol w:w="973"/>
        <w:gridCol w:w="909"/>
        <w:gridCol w:w="1776"/>
        <w:gridCol w:w="817"/>
        <w:gridCol w:w="1275"/>
      </w:tblGrid>
      <w:tr w:rsidR="00AD75ED" w:rsidRPr="00124CB7" w14:paraId="6E9D1AEF" w14:textId="162D7E86" w:rsidTr="00D3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5" w:type="dxa"/>
            <w:shd w:val="clear" w:color="auto" w:fill="800000"/>
          </w:tcPr>
          <w:p w14:paraId="74759AF7" w14:textId="77777777" w:rsidR="00AD75ED" w:rsidRPr="00124CB7" w:rsidRDefault="00AD75ED" w:rsidP="00AD75ED">
            <w:pPr>
              <w:pStyle w:val="NoSpacing"/>
            </w:pPr>
            <w:r w:rsidRPr="00124CB7">
              <w:t>Fresh mushrooms</w:t>
            </w:r>
          </w:p>
        </w:tc>
        <w:tc>
          <w:tcPr>
            <w:tcW w:w="1450" w:type="dxa"/>
            <w:gridSpan w:val="2"/>
            <w:shd w:val="clear" w:color="auto" w:fill="800000"/>
          </w:tcPr>
          <w:p w14:paraId="5EC6EFF0" w14:textId="1F3EAA00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w.e. </w:t>
            </w:r>
            <w:r w:rsidR="006C1B19">
              <w:t>11/3/2024</w:t>
            </w:r>
          </w:p>
        </w:tc>
        <w:tc>
          <w:tcPr>
            <w:tcW w:w="973" w:type="dxa"/>
            <w:shd w:val="clear" w:color="auto" w:fill="800000"/>
          </w:tcPr>
          <w:p w14:paraId="10EFADEC" w14:textId="3B28B708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>Vs.</w:t>
            </w:r>
            <w:r>
              <w:br/>
            </w:r>
            <w:r w:rsidRPr="00124CB7">
              <w:t xml:space="preserve"> </w:t>
            </w:r>
            <w:r>
              <w:t>YA</w:t>
            </w:r>
          </w:p>
        </w:tc>
        <w:tc>
          <w:tcPr>
            <w:tcW w:w="909" w:type="dxa"/>
            <w:shd w:val="clear" w:color="auto" w:fill="800000"/>
          </w:tcPr>
          <w:p w14:paraId="55EFE125" w14:textId="24027876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>
              <w:br/>
              <w:t>2YA</w:t>
            </w:r>
          </w:p>
        </w:tc>
        <w:tc>
          <w:tcPr>
            <w:tcW w:w="1776" w:type="dxa"/>
            <w:shd w:val="clear" w:color="auto" w:fill="800000"/>
          </w:tcPr>
          <w:p w14:paraId="6A5B944C" w14:textId="75EEF95D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Latest 52 w.e. </w:t>
            </w:r>
            <w:r w:rsidR="006C1B19">
              <w:t>11/3/2024</w:t>
            </w:r>
          </w:p>
        </w:tc>
        <w:tc>
          <w:tcPr>
            <w:tcW w:w="817" w:type="dxa"/>
            <w:shd w:val="clear" w:color="auto" w:fill="800000"/>
          </w:tcPr>
          <w:p w14:paraId="56551B99" w14:textId="2A902884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>Vs.</w:t>
            </w:r>
            <w:r>
              <w:br/>
            </w:r>
            <w:r w:rsidRPr="00124CB7">
              <w:t xml:space="preserve"> </w:t>
            </w:r>
            <w:r>
              <w:t>YA</w:t>
            </w:r>
          </w:p>
        </w:tc>
        <w:tc>
          <w:tcPr>
            <w:tcW w:w="1275" w:type="dxa"/>
            <w:shd w:val="clear" w:color="auto" w:fill="800000"/>
          </w:tcPr>
          <w:p w14:paraId="1A109D51" w14:textId="7DD14BDB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>
              <w:br/>
              <w:t>2YA</w:t>
            </w:r>
          </w:p>
        </w:tc>
      </w:tr>
      <w:tr w:rsidR="00865920" w14:paraId="2B35BE12" w14:textId="0A6FF303" w:rsidTr="00D3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gridSpan w:val="2"/>
          </w:tcPr>
          <w:p w14:paraId="5B4CB702" w14:textId="77777777" w:rsidR="00865920" w:rsidRPr="00124CB7" w:rsidRDefault="00865920" w:rsidP="00865920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Price/unit</w:t>
            </w:r>
          </w:p>
        </w:tc>
        <w:tc>
          <w:tcPr>
            <w:tcW w:w="1146" w:type="dxa"/>
          </w:tcPr>
          <w:p w14:paraId="2915A28B" w14:textId="276C290B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0384F">
              <w:t>3.04</w:t>
            </w:r>
          </w:p>
        </w:tc>
        <w:tc>
          <w:tcPr>
            <w:tcW w:w="973" w:type="dxa"/>
          </w:tcPr>
          <w:p w14:paraId="3E0967AB" w14:textId="7CB931D0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7D43">
              <w:t>+</w:t>
            </w:r>
            <w:r w:rsidR="0090384F">
              <w:t>2.1</w:t>
            </w:r>
            <w:r w:rsidRPr="007E7D43">
              <w:t>%</w:t>
            </w:r>
          </w:p>
        </w:tc>
        <w:tc>
          <w:tcPr>
            <w:tcW w:w="909" w:type="dxa"/>
          </w:tcPr>
          <w:p w14:paraId="09DAD54E" w14:textId="51750499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7D43">
              <w:t>+</w:t>
            </w:r>
            <w:r w:rsidR="0090384F">
              <w:t>1.2</w:t>
            </w:r>
            <w:r w:rsidRPr="007E7D43">
              <w:t>%</w:t>
            </w:r>
          </w:p>
        </w:tc>
        <w:tc>
          <w:tcPr>
            <w:tcW w:w="1776" w:type="dxa"/>
          </w:tcPr>
          <w:p w14:paraId="03CA719E" w14:textId="7B276B94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0384F">
              <w:t>3.04</w:t>
            </w:r>
          </w:p>
        </w:tc>
        <w:tc>
          <w:tcPr>
            <w:tcW w:w="817" w:type="dxa"/>
          </w:tcPr>
          <w:p w14:paraId="08755E5E" w14:textId="4F20C8B5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D0A">
              <w:t>+</w:t>
            </w:r>
            <w:r w:rsidR="00D24514">
              <w:t>0.</w:t>
            </w:r>
            <w:r w:rsidR="0090384F">
              <w:t>9</w:t>
            </w:r>
            <w:r w:rsidRPr="00636D0A">
              <w:t>%</w:t>
            </w:r>
          </w:p>
        </w:tc>
        <w:tc>
          <w:tcPr>
            <w:tcW w:w="1275" w:type="dxa"/>
          </w:tcPr>
          <w:p w14:paraId="19B1F6D2" w14:textId="41A6669B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D0A">
              <w:t>+</w:t>
            </w:r>
            <w:r w:rsidR="0090384F">
              <w:t>3.7</w:t>
            </w:r>
            <w:r w:rsidRPr="00636D0A">
              <w:t>%</w:t>
            </w:r>
          </w:p>
        </w:tc>
      </w:tr>
      <w:tr w:rsidR="00865920" w14:paraId="7C18640F" w14:textId="5B569261" w:rsidTr="00D3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gridSpan w:val="2"/>
          </w:tcPr>
          <w:p w14:paraId="47C97CE0" w14:textId="77777777" w:rsidR="00865920" w:rsidRPr="00124CB7" w:rsidRDefault="00865920" w:rsidP="00865920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Price/volume</w:t>
            </w:r>
          </w:p>
        </w:tc>
        <w:tc>
          <w:tcPr>
            <w:tcW w:w="1146" w:type="dxa"/>
          </w:tcPr>
          <w:p w14:paraId="17C86A08" w14:textId="21CE2BFF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24514">
              <w:t>4.56</w:t>
            </w:r>
          </w:p>
        </w:tc>
        <w:tc>
          <w:tcPr>
            <w:tcW w:w="973" w:type="dxa"/>
          </w:tcPr>
          <w:p w14:paraId="7E986169" w14:textId="1A5DDCB6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D43">
              <w:t>+</w:t>
            </w:r>
            <w:r w:rsidR="00D24514">
              <w:t>1.</w:t>
            </w:r>
            <w:r w:rsidR="0090384F">
              <w:t>4</w:t>
            </w:r>
            <w:r w:rsidRPr="007E7D43">
              <w:t>%</w:t>
            </w:r>
          </w:p>
        </w:tc>
        <w:tc>
          <w:tcPr>
            <w:tcW w:w="909" w:type="dxa"/>
          </w:tcPr>
          <w:p w14:paraId="36DDF54D" w14:textId="5CB9B59F" w:rsidR="00865920" w:rsidRDefault="0090384F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+0.5</w:t>
            </w:r>
            <w:r w:rsidR="00865920" w:rsidRPr="007E7D43">
              <w:t>%</w:t>
            </w:r>
          </w:p>
        </w:tc>
        <w:tc>
          <w:tcPr>
            <w:tcW w:w="1776" w:type="dxa"/>
          </w:tcPr>
          <w:p w14:paraId="233A8701" w14:textId="4EC05CB7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24514">
              <w:t>4.55</w:t>
            </w:r>
          </w:p>
        </w:tc>
        <w:tc>
          <w:tcPr>
            <w:tcW w:w="817" w:type="dxa"/>
          </w:tcPr>
          <w:p w14:paraId="1759FD32" w14:textId="745D31E1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D0A">
              <w:t>+</w:t>
            </w:r>
            <w:r w:rsidR="00D24514">
              <w:t>0.</w:t>
            </w:r>
            <w:r w:rsidR="0090384F">
              <w:t>7</w:t>
            </w:r>
            <w:r w:rsidRPr="00636D0A">
              <w:t>%</w:t>
            </w:r>
          </w:p>
        </w:tc>
        <w:tc>
          <w:tcPr>
            <w:tcW w:w="1275" w:type="dxa"/>
          </w:tcPr>
          <w:p w14:paraId="725313BE" w14:textId="52646E9A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D0A">
              <w:t>+</w:t>
            </w:r>
            <w:r w:rsidR="00D24514">
              <w:t>3.</w:t>
            </w:r>
            <w:r w:rsidR="0090384F">
              <w:t>1</w:t>
            </w:r>
            <w:r w:rsidRPr="00636D0A">
              <w:t>%</w:t>
            </w:r>
          </w:p>
        </w:tc>
      </w:tr>
    </w:tbl>
    <w:p w14:paraId="5CF68DB9" w14:textId="77777777" w:rsidR="00170260" w:rsidRDefault="00170260" w:rsidP="00170260">
      <w:pPr>
        <w:pStyle w:val="NoSpacing"/>
      </w:pPr>
    </w:p>
    <w:p w14:paraId="611C2D9A" w14:textId="54A6947C" w:rsidR="00170260" w:rsidRDefault="00E72D31" w:rsidP="00170260">
      <w:pPr>
        <w:pStyle w:val="NoSpacing"/>
      </w:pPr>
      <w:r>
        <w:t>Fresh</w:t>
      </w:r>
      <w:r w:rsidR="00266BBD">
        <w:t xml:space="preserve"> m</w:t>
      </w:r>
      <w:r w:rsidR="00865920">
        <w:t xml:space="preserve">ushroom promotions averaged </w:t>
      </w:r>
      <w:r w:rsidR="002511F5">
        <w:t>20.1</w:t>
      </w:r>
      <w:r>
        <w:t xml:space="preserve">% of total dollars during the quad week, </w:t>
      </w:r>
      <w:r w:rsidR="002511F5">
        <w:t xml:space="preserve">a little </w:t>
      </w:r>
      <w:r w:rsidR="0024111A">
        <w:t xml:space="preserve">less than the promoted levels last year as well as the </w:t>
      </w:r>
      <w:r>
        <w:t>annual average</w:t>
      </w:r>
      <w:r w:rsidR="00B672D0">
        <w:t>.</w:t>
      </w:r>
      <w:r w:rsidR="00E508BB">
        <w:t xml:space="preserve"> </w:t>
      </w:r>
    </w:p>
    <w:p w14:paraId="363D2F2B" w14:textId="77777777" w:rsidR="00170260" w:rsidRPr="00E72D31" w:rsidRDefault="00170260" w:rsidP="00170260">
      <w:pPr>
        <w:pStyle w:val="NoSpacing"/>
        <w:rPr>
          <w:sz w:val="10"/>
          <w:szCs w:val="10"/>
        </w:rPr>
      </w:pPr>
    </w:p>
    <w:tbl>
      <w:tblPr>
        <w:tblStyle w:val="ListTable3-Accent3"/>
        <w:tblW w:w="10070" w:type="dxa"/>
        <w:tblLook w:val="04A0" w:firstRow="1" w:lastRow="0" w:firstColumn="1" w:lastColumn="0" w:noHBand="0" w:noVBand="1"/>
      </w:tblPr>
      <w:tblGrid>
        <w:gridCol w:w="3539"/>
        <w:gridCol w:w="397"/>
        <w:gridCol w:w="1342"/>
        <w:gridCol w:w="1369"/>
        <w:gridCol w:w="2054"/>
        <w:gridCol w:w="1369"/>
      </w:tblGrid>
      <w:tr w:rsidR="00972570" w:rsidRPr="00124CB7" w14:paraId="5DFB9CAB" w14:textId="77777777" w:rsidTr="00D3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shd w:val="clear" w:color="auto" w:fill="800000"/>
          </w:tcPr>
          <w:p w14:paraId="4168BC1A" w14:textId="77777777" w:rsidR="00972570" w:rsidRPr="00124CB7" w:rsidRDefault="00972570" w:rsidP="009A5A3B">
            <w:pPr>
              <w:pStyle w:val="NoSpacing"/>
            </w:pPr>
            <w:r w:rsidRPr="00124CB7">
              <w:t>Fresh mushrooms</w:t>
            </w:r>
          </w:p>
        </w:tc>
        <w:tc>
          <w:tcPr>
            <w:tcW w:w="1739" w:type="dxa"/>
            <w:gridSpan w:val="2"/>
            <w:shd w:val="clear" w:color="auto" w:fill="800000"/>
          </w:tcPr>
          <w:p w14:paraId="6A0500B8" w14:textId="41424BC7" w:rsidR="00972570" w:rsidRPr="00124CB7" w:rsidRDefault="00972570" w:rsidP="009A5A3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w.e. </w:t>
            </w:r>
            <w:r w:rsidR="006C1B19">
              <w:t>11/3/2024</w:t>
            </w:r>
          </w:p>
        </w:tc>
        <w:tc>
          <w:tcPr>
            <w:tcW w:w="1369" w:type="dxa"/>
            <w:shd w:val="clear" w:color="auto" w:fill="800000"/>
          </w:tcPr>
          <w:p w14:paraId="5CF9736D" w14:textId="780DB308" w:rsidR="00972570" w:rsidRPr="00124CB7" w:rsidRDefault="00972570" w:rsidP="009A5A3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 w:rsidR="00AD75ED">
              <w:t>YA</w:t>
            </w:r>
          </w:p>
        </w:tc>
        <w:tc>
          <w:tcPr>
            <w:tcW w:w="2054" w:type="dxa"/>
            <w:shd w:val="clear" w:color="auto" w:fill="800000"/>
          </w:tcPr>
          <w:p w14:paraId="413A4F70" w14:textId="723B8C62" w:rsidR="00972570" w:rsidRPr="00124CB7" w:rsidRDefault="00694050" w:rsidP="00B03343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Latest 52 w.e.</w:t>
            </w:r>
            <w:r w:rsidR="00972570">
              <w:t xml:space="preserve"> </w:t>
            </w:r>
            <w:r w:rsidR="006C1B19">
              <w:t>11/3/2024</w:t>
            </w:r>
          </w:p>
        </w:tc>
        <w:tc>
          <w:tcPr>
            <w:tcW w:w="1369" w:type="dxa"/>
            <w:shd w:val="clear" w:color="auto" w:fill="800000"/>
          </w:tcPr>
          <w:p w14:paraId="75064544" w14:textId="312D7093" w:rsidR="00972570" w:rsidRPr="00124CB7" w:rsidRDefault="00972570" w:rsidP="009A5A3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 w:rsidR="00AD75ED">
              <w:t>YA</w:t>
            </w:r>
          </w:p>
        </w:tc>
      </w:tr>
      <w:tr w:rsidR="00D15B2D" w14:paraId="3B76FFA3" w14:textId="78296325" w:rsidTr="00D3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2"/>
          </w:tcPr>
          <w:p w14:paraId="2B5B6C81" w14:textId="6313A9FC" w:rsidR="00D15B2D" w:rsidRDefault="00D15B2D" w:rsidP="00D15B2D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Share of dollars sold on promotion</w:t>
            </w:r>
          </w:p>
        </w:tc>
        <w:tc>
          <w:tcPr>
            <w:tcW w:w="1342" w:type="dxa"/>
          </w:tcPr>
          <w:p w14:paraId="6D5E5F03" w14:textId="6CAB0F45" w:rsidR="00D15B2D" w:rsidRPr="00D15B2D" w:rsidRDefault="002511F5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20.1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  <w:tc>
          <w:tcPr>
            <w:tcW w:w="1369" w:type="dxa"/>
          </w:tcPr>
          <w:p w14:paraId="586FECBD" w14:textId="31504643" w:rsidR="00D15B2D" w:rsidRPr="00D15B2D" w:rsidRDefault="0024111A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-6.9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  <w:tc>
          <w:tcPr>
            <w:tcW w:w="2054" w:type="dxa"/>
          </w:tcPr>
          <w:p w14:paraId="66CD7DD9" w14:textId="4B0F1138" w:rsidR="00D15B2D" w:rsidRPr="00D15B2D" w:rsidRDefault="002511F5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17.8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  <w:tc>
          <w:tcPr>
            <w:tcW w:w="1369" w:type="dxa"/>
          </w:tcPr>
          <w:p w14:paraId="7461CDF6" w14:textId="4138D403" w:rsidR="00D15B2D" w:rsidRPr="00D15B2D" w:rsidRDefault="00FA0530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+</w:t>
            </w:r>
            <w:r w:rsidR="002511F5">
              <w:rPr>
                <w:rFonts w:ascii="Calibri" w:eastAsia="Calibri" w:hAnsi="Calibri"/>
                <w:kern w:val="24"/>
              </w:rPr>
              <w:t>5.0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</w:tr>
    </w:tbl>
    <w:p w14:paraId="23606064" w14:textId="2A0F3E12" w:rsidR="00555250" w:rsidRPr="00555250" w:rsidRDefault="00555250" w:rsidP="00555250">
      <w:pPr>
        <w:pStyle w:val="NoSpacing"/>
        <w:spacing w:before="120"/>
        <w:rPr>
          <w:color w:val="7F7F7F" w:themeColor="text1" w:themeTint="80"/>
          <w:sz w:val="16"/>
          <w:szCs w:val="16"/>
        </w:rPr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r w:rsidR="004C5B27">
        <w:rPr>
          <w:color w:val="7F7F7F" w:themeColor="text1" w:themeTint="80"/>
          <w:sz w:val="16"/>
          <w:szCs w:val="16"/>
        </w:rPr>
        <w:t xml:space="preserve">Circana, </w:t>
      </w:r>
      <w:r w:rsidRPr="00555250">
        <w:rPr>
          <w:color w:val="7F7F7F" w:themeColor="text1" w:themeTint="80"/>
          <w:sz w:val="16"/>
          <w:szCs w:val="16"/>
        </w:rPr>
        <w:t xml:space="preserve">Integrated Fresh, </w:t>
      </w:r>
      <w:r w:rsidR="00FA0530"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 w:rsidR="00A657C4">
        <w:rPr>
          <w:color w:val="7F7F7F" w:themeColor="text1" w:themeTint="80"/>
          <w:sz w:val="16"/>
          <w:szCs w:val="16"/>
        </w:rPr>
        <w:t xml:space="preserve">YTD and </w:t>
      </w:r>
      <w:r w:rsidR="007D30DA">
        <w:rPr>
          <w:color w:val="7F7F7F" w:themeColor="text1" w:themeTint="80"/>
          <w:sz w:val="16"/>
          <w:szCs w:val="16"/>
        </w:rPr>
        <w:t>4</w:t>
      </w:r>
      <w:r w:rsidRPr="00555250">
        <w:rPr>
          <w:color w:val="7F7F7F" w:themeColor="text1" w:themeTint="80"/>
          <w:sz w:val="16"/>
          <w:szCs w:val="16"/>
        </w:rPr>
        <w:t xml:space="preserve"> weeks ending </w:t>
      </w:r>
      <w:r w:rsidR="006C1B19">
        <w:rPr>
          <w:color w:val="7F7F7F" w:themeColor="text1" w:themeTint="80"/>
          <w:sz w:val="16"/>
          <w:szCs w:val="16"/>
        </w:rPr>
        <w:t>11/3/2024</w:t>
      </w:r>
    </w:p>
    <w:p w14:paraId="0804BC52" w14:textId="568E8254" w:rsidR="0092088E" w:rsidRDefault="0092088E" w:rsidP="00472B02">
      <w:pPr>
        <w:pStyle w:val="NoSpacing"/>
      </w:pPr>
    </w:p>
    <w:p w14:paraId="59E70896" w14:textId="52CB107E" w:rsidR="004C2808" w:rsidRPr="00D3797F" w:rsidRDefault="004C2808" w:rsidP="004462C1">
      <w:pPr>
        <w:pStyle w:val="Heading2"/>
        <w:rPr>
          <w:b/>
          <w:bCs/>
          <w:color w:val="800000"/>
        </w:rPr>
      </w:pPr>
      <w:r w:rsidRPr="00D3797F">
        <w:rPr>
          <w:b/>
          <w:bCs/>
          <w:color w:val="800000"/>
        </w:rPr>
        <w:t>Additional observations:</w:t>
      </w:r>
    </w:p>
    <w:p w14:paraId="22421914" w14:textId="6316D5F7" w:rsidR="00C9550B" w:rsidRDefault="00C9550B" w:rsidP="009A5A3B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B11421">
        <w:rPr>
          <w:color w:val="000000" w:themeColor="text1"/>
          <w:u w:val="single"/>
        </w:rPr>
        <w:t>Package size</w:t>
      </w:r>
      <w:r w:rsidRPr="00B11421">
        <w:rPr>
          <w:color w:val="000000" w:themeColor="text1"/>
        </w:rPr>
        <w:t xml:space="preserve">: </w:t>
      </w:r>
      <w:r w:rsidR="00B672D0" w:rsidRPr="00B11421">
        <w:rPr>
          <w:color w:val="000000" w:themeColor="text1"/>
        </w:rPr>
        <w:t>8</w:t>
      </w:r>
      <w:r w:rsidRPr="00B11421">
        <w:rPr>
          <w:color w:val="000000" w:themeColor="text1"/>
        </w:rPr>
        <w:t xml:space="preserve">-ounce packages </w:t>
      </w:r>
      <w:r w:rsidR="00B42A49" w:rsidRPr="00B11421">
        <w:rPr>
          <w:color w:val="000000" w:themeColor="text1"/>
        </w:rPr>
        <w:t xml:space="preserve">generated </w:t>
      </w:r>
      <w:r w:rsidR="00FA0530">
        <w:rPr>
          <w:color w:val="000000" w:themeColor="text1"/>
        </w:rPr>
        <w:t>$</w:t>
      </w:r>
      <w:r w:rsidR="00691846">
        <w:rPr>
          <w:color w:val="000000" w:themeColor="text1"/>
        </w:rPr>
        <w:t>73</w:t>
      </w:r>
      <w:r w:rsidR="002511F5">
        <w:rPr>
          <w:color w:val="000000" w:themeColor="text1"/>
        </w:rPr>
        <w:t>5</w:t>
      </w:r>
      <w:r w:rsidR="00F565B7">
        <w:rPr>
          <w:color w:val="000000" w:themeColor="text1"/>
        </w:rPr>
        <w:t xml:space="preserve"> million</w:t>
      </w:r>
      <w:r w:rsidR="00B672D0" w:rsidRPr="00B11421">
        <w:rPr>
          <w:color w:val="000000" w:themeColor="text1"/>
        </w:rPr>
        <w:t xml:space="preserve"> in the </w:t>
      </w:r>
      <w:r w:rsidR="00F565B7">
        <w:rPr>
          <w:color w:val="000000" w:themeColor="text1"/>
        </w:rPr>
        <w:t>past year</w:t>
      </w:r>
      <w:r w:rsidR="00195B70">
        <w:rPr>
          <w:color w:val="000000" w:themeColor="text1"/>
        </w:rPr>
        <w:t>, a</w:t>
      </w:r>
      <w:r w:rsidR="00FA0530">
        <w:rPr>
          <w:color w:val="000000" w:themeColor="text1"/>
        </w:rPr>
        <w:t xml:space="preserve"> decrease of </w:t>
      </w:r>
      <w:r w:rsidR="00691846">
        <w:rPr>
          <w:color w:val="000000" w:themeColor="text1"/>
        </w:rPr>
        <w:t>1.</w:t>
      </w:r>
      <w:r w:rsidR="002511F5">
        <w:rPr>
          <w:color w:val="000000" w:themeColor="text1"/>
        </w:rPr>
        <w:t>7</w:t>
      </w:r>
      <w:r w:rsidR="00F06A94">
        <w:rPr>
          <w:color w:val="000000" w:themeColor="text1"/>
        </w:rPr>
        <w:t>% versus year-ago levels.</w:t>
      </w:r>
      <w:r w:rsidR="00834A70">
        <w:rPr>
          <w:color w:val="000000" w:themeColor="text1"/>
        </w:rPr>
        <w:t xml:space="preserve"> </w:t>
      </w:r>
      <w:r w:rsidR="00D3797F">
        <w:rPr>
          <w:color w:val="000000" w:themeColor="text1"/>
        </w:rPr>
        <w:t xml:space="preserve">Meanwhile, 24-ounce packages </w:t>
      </w:r>
      <w:r w:rsidR="002952B2">
        <w:rPr>
          <w:color w:val="000000" w:themeColor="text1"/>
        </w:rPr>
        <w:t xml:space="preserve">remained ahead of </w:t>
      </w:r>
      <w:r w:rsidR="00D3797F">
        <w:rPr>
          <w:color w:val="000000" w:themeColor="text1"/>
        </w:rPr>
        <w:t xml:space="preserve">16-ounce packages in dollar and volume sales. Additionally, </w:t>
      </w:r>
      <w:r w:rsidR="00F565B7">
        <w:rPr>
          <w:color w:val="000000" w:themeColor="text1"/>
        </w:rPr>
        <w:t xml:space="preserve">24-ounce packages </w:t>
      </w:r>
      <w:r w:rsidR="00D3797F">
        <w:rPr>
          <w:color w:val="000000" w:themeColor="text1"/>
        </w:rPr>
        <w:t xml:space="preserve">grew </w:t>
      </w:r>
      <w:r w:rsidR="00F565B7">
        <w:rPr>
          <w:color w:val="000000" w:themeColor="text1"/>
        </w:rPr>
        <w:t>dollar, uni</w:t>
      </w:r>
      <w:r w:rsidR="00D3797F">
        <w:rPr>
          <w:color w:val="000000" w:themeColor="text1"/>
        </w:rPr>
        <w:t>t</w:t>
      </w:r>
      <w:r w:rsidR="00F565B7">
        <w:rPr>
          <w:color w:val="000000" w:themeColor="text1"/>
        </w:rPr>
        <w:t xml:space="preserve"> and pound</w:t>
      </w:r>
      <w:r w:rsidR="00D3797F">
        <w:rPr>
          <w:color w:val="000000" w:themeColor="text1"/>
        </w:rPr>
        <w:t xml:space="preserve"> sales versus last year</w:t>
      </w:r>
      <w:r w:rsidR="00F565B7">
        <w:rPr>
          <w:color w:val="000000" w:themeColor="text1"/>
        </w:rPr>
        <w:t xml:space="preserve">. </w:t>
      </w:r>
    </w:p>
    <w:p w14:paraId="39BF4FC8" w14:textId="149DBF6F" w:rsidR="00E72D31" w:rsidRDefault="004462C1" w:rsidP="009718A1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E72D31">
        <w:rPr>
          <w:color w:val="000000" w:themeColor="text1"/>
          <w:u w:val="single"/>
        </w:rPr>
        <w:t>Organic vs</w:t>
      </w:r>
      <w:r w:rsidR="005B6968" w:rsidRPr="00E72D31">
        <w:rPr>
          <w:color w:val="000000" w:themeColor="text1"/>
          <w:u w:val="single"/>
        </w:rPr>
        <w:t>.</w:t>
      </w:r>
      <w:r w:rsidRPr="00E72D31">
        <w:rPr>
          <w:color w:val="000000" w:themeColor="text1"/>
          <w:u w:val="single"/>
        </w:rPr>
        <w:t xml:space="preserve"> conventional</w:t>
      </w:r>
      <w:r w:rsidRPr="00E72D31">
        <w:rPr>
          <w:color w:val="000000" w:themeColor="text1"/>
        </w:rPr>
        <w:t xml:space="preserve">: Organic </w:t>
      </w:r>
      <w:r w:rsidR="005B6968" w:rsidRPr="00E72D31">
        <w:rPr>
          <w:color w:val="000000" w:themeColor="text1"/>
        </w:rPr>
        <w:t xml:space="preserve">mushrooms </w:t>
      </w:r>
      <w:r w:rsidR="002511F5">
        <w:rPr>
          <w:color w:val="000000" w:themeColor="text1"/>
        </w:rPr>
        <w:t>generated $338 million in sales over the past year</w:t>
      </w:r>
      <w:r w:rsidR="00FC3E0A">
        <w:rPr>
          <w:color w:val="000000" w:themeColor="text1"/>
        </w:rPr>
        <w:t xml:space="preserve">, </w:t>
      </w:r>
      <w:r w:rsidR="002511F5">
        <w:rPr>
          <w:color w:val="000000" w:themeColor="text1"/>
        </w:rPr>
        <w:t>up 2.9% over year ago levels as well as ahead of the prior two and three years. Additionally, organic mushrooms gained in unit and volume sales</w:t>
      </w:r>
    </w:p>
    <w:p w14:paraId="6D934167" w14:textId="77777777" w:rsidR="00B07D7F" w:rsidRDefault="002511F5" w:rsidP="009718A1">
      <w:pPr>
        <w:pStyle w:val="NoSpacing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  <w:u w:val="single"/>
        </w:rPr>
        <w:t>Value added</w:t>
      </w:r>
      <w:r w:rsidR="00B11421" w:rsidRPr="00E72D31">
        <w:rPr>
          <w:color w:val="000000" w:themeColor="text1"/>
        </w:rPr>
        <w:t xml:space="preserve">: </w:t>
      </w:r>
      <w:r w:rsidR="00B07D7F">
        <w:rPr>
          <w:color w:val="000000" w:themeColor="text1"/>
        </w:rPr>
        <w:t xml:space="preserve">Value added mushrooms represented $632.5 million in sales in the past year. While this is a much higher share than that of total produce, value-added sales did not perform as well as whole mushrooms. Dollars were down by 3.1% for value-added versus -1.0% for whole mushrooms. </w:t>
      </w:r>
    </w:p>
    <w:p w14:paraId="5CC8E748" w14:textId="58253163" w:rsidR="00300A5F" w:rsidRPr="00E72D31" w:rsidRDefault="00B07D7F" w:rsidP="009718A1">
      <w:pPr>
        <w:pStyle w:val="NoSpacing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  <w:u w:val="single"/>
        </w:rPr>
        <w:t>Preparation</w:t>
      </w:r>
      <w:r w:rsidRPr="00B07D7F">
        <w:rPr>
          <w:color w:val="000000" w:themeColor="text1"/>
        </w:rPr>
        <w:t>:</w:t>
      </w:r>
      <w:r w:rsidR="00B32067">
        <w:rPr>
          <w:color w:val="000000" w:themeColor="text1"/>
        </w:rPr>
        <w:t xml:space="preserve"> </w:t>
      </w:r>
      <w:r w:rsidR="00FC51AD">
        <w:rPr>
          <w:color w:val="000000" w:themeColor="text1"/>
        </w:rPr>
        <w:t xml:space="preserve">Within value added, stuffed mushroom sales declined 2.6% and sliced mushroom sales were down 4.2% for the year. </w:t>
      </w:r>
    </w:p>
    <w:p w14:paraId="780AB35F" w14:textId="77777777" w:rsidR="000E0D6B" w:rsidRPr="00E72D31" w:rsidRDefault="000E0D6B" w:rsidP="00C9550B">
      <w:pPr>
        <w:pStyle w:val="NoSpacing"/>
        <w:rPr>
          <w:color w:val="000000" w:themeColor="text1"/>
          <w:sz w:val="10"/>
          <w:szCs w:val="10"/>
        </w:rPr>
      </w:pPr>
    </w:p>
    <w:p w14:paraId="612B03EE" w14:textId="42B219AD" w:rsidR="000C7E82" w:rsidRPr="00B34EF7" w:rsidRDefault="00782D09" w:rsidP="00C9550B">
      <w:pPr>
        <w:pStyle w:val="NoSpacing"/>
      </w:pPr>
      <w:r w:rsidRPr="00EB30C7">
        <w:rPr>
          <w:color w:val="7F7F7F" w:themeColor="text1" w:themeTint="80"/>
          <w:sz w:val="16"/>
          <w:szCs w:val="16"/>
        </w:rPr>
        <w:t xml:space="preserve">Source: </w:t>
      </w:r>
      <w:r w:rsidR="004C5B27">
        <w:rPr>
          <w:color w:val="7F7F7F" w:themeColor="text1" w:themeTint="80"/>
          <w:sz w:val="16"/>
          <w:szCs w:val="16"/>
        </w:rPr>
        <w:t>Circana</w:t>
      </w:r>
      <w:r w:rsidRPr="00EB30C7">
        <w:rPr>
          <w:color w:val="7F7F7F" w:themeColor="text1" w:themeTint="80"/>
          <w:sz w:val="16"/>
          <w:szCs w:val="16"/>
        </w:rPr>
        <w:t xml:space="preserve">, Integrated Fresh, </w:t>
      </w:r>
      <w:r w:rsidR="00FA0530">
        <w:rPr>
          <w:color w:val="7F7F7F" w:themeColor="text1" w:themeTint="80"/>
          <w:sz w:val="16"/>
          <w:szCs w:val="16"/>
        </w:rPr>
        <w:t>MULO+</w:t>
      </w:r>
      <w:r w:rsidRPr="00EB30C7">
        <w:rPr>
          <w:color w:val="7F7F7F" w:themeColor="text1" w:themeTint="80"/>
          <w:sz w:val="16"/>
          <w:szCs w:val="16"/>
        </w:rPr>
        <w:t xml:space="preserve">, </w:t>
      </w:r>
      <w:r w:rsidR="004B7951" w:rsidRPr="00EB30C7">
        <w:rPr>
          <w:color w:val="7F7F7F" w:themeColor="text1" w:themeTint="80"/>
          <w:sz w:val="16"/>
          <w:szCs w:val="16"/>
        </w:rPr>
        <w:t>4</w:t>
      </w:r>
      <w:r w:rsidR="0009067E">
        <w:rPr>
          <w:color w:val="7F7F7F" w:themeColor="text1" w:themeTint="80"/>
          <w:sz w:val="16"/>
          <w:szCs w:val="16"/>
        </w:rPr>
        <w:t xml:space="preserve"> or 52</w:t>
      </w:r>
      <w:r w:rsidRPr="00EB30C7">
        <w:rPr>
          <w:color w:val="7F7F7F" w:themeColor="text1" w:themeTint="80"/>
          <w:sz w:val="16"/>
          <w:szCs w:val="16"/>
        </w:rPr>
        <w:t xml:space="preserve"> weeks ending </w:t>
      </w:r>
      <w:r w:rsidR="006C1B19">
        <w:rPr>
          <w:color w:val="7F7F7F" w:themeColor="text1" w:themeTint="80"/>
          <w:sz w:val="16"/>
          <w:szCs w:val="16"/>
        </w:rPr>
        <w:t>11/3/2024</w:t>
      </w:r>
      <w:r w:rsidR="00B34EF7">
        <w:t xml:space="preserve"> </w:t>
      </w:r>
    </w:p>
    <w:sectPr w:rsidR="000C7E82" w:rsidRPr="00B34EF7" w:rsidSect="003B4E77">
      <w:pgSz w:w="12240" w:h="15840"/>
      <w:pgMar w:top="720" w:right="108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47AF7" w14:textId="77777777" w:rsidR="0039393A" w:rsidRDefault="0039393A" w:rsidP="004E49DD">
      <w:pPr>
        <w:spacing w:after="0" w:line="240" w:lineRule="auto"/>
      </w:pPr>
      <w:r>
        <w:separator/>
      </w:r>
    </w:p>
  </w:endnote>
  <w:endnote w:type="continuationSeparator" w:id="0">
    <w:p w14:paraId="1B5F620E" w14:textId="77777777" w:rsidR="0039393A" w:rsidRDefault="0039393A" w:rsidP="004E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2F4B4" w14:textId="77777777" w:rsidR="0039393A" w:rsidRDefault="0039393A" w:rsidP="004E49DD">
      <w:pPr>
        <w:spacing w:after="0" w:line="240" w:lineRule="auto"/>
      </w:pPr>
      <w:r>
        <w:separator/>
      </w:r>
    </w:p>
  </w:footnote>
  <w:footnote w:type="continuationSeparator" w:id="0">
    <w:p w14:paraId="3AD8D7B1" w14:textId="77777777" w:rsidR="0039393A" w:rsidRDefault="0039393A" w:rsidP="004E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7DB0"/>
    <w:multiLevelType w:val="hybridMultilevel"/>
    <w:tmpl w:val="4F1C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259"/>
    <w:multiLevelType w:val="hybridMultilevel"/>
    <w:tmpl w:val="908CB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D1A02"/>
    <w:multiLevelType w:val="hybridMultilevel"/>
    <w:tmpl w:val="C4AA5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77733"/>
    <w:multiLevelType w:val="hybridMultilevel"/>
    <w:tmpl w:val="C798B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B7EE9"/>
    <w:multiLevelType w:val="hybridMultilevel"/>
    <w:tmpl w:val="2954D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E75F2"/>
    <w:multiLevelType w:val="hybridMultilevel"/>
    <w:tmpl w:val="3E080B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87C96"/>
    <w:multiLevelType w:val="hybridMultilevel"/>
    <w:tmpl w:val="BDBA23DE"/>
    <w:lvl w:ilvl="0" w:tplc="648CDD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AF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C3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C3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E5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AA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0A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4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8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06E38"/>
    <w:multiLevelType w:val="hybridMultilevel"/>
    <w:tmpl w:val="682851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C5748"/>
    <w:multiLevelType w:val="hybridMultilevel"/>
    <w:tmpl w:val="6DF848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C76C8"/>
    <w:multiLevelType w:val="hybridMultilevel"/>
    <w:tmpl w:val="31285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C3B04"/>
    <w:multiLevelType w:val="hybridMultilevel"/>
    <w:tmpl w:val="7F3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B0A5F"/>
    <w:multiLevelType w:val="hybridMultilevel"/>
    <w:tmpl w:val="07A24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260834"/>
    <w:multiLevelType w:val="hybridMultilevel"/>
    <w:tmpl w:val="E3142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6333"/>
    <w:multiLevelType w:val="hybridMultilevel"/>
    <w:tmpl w:val="DBDAD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632060"/>
    <w:multiLevelType w:val="hybridMultilevel"/>
    <w:tmpl w:val="727C6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43B87"/>
    <w:multiLevelType w:val="hybridMultilevel"/>
    <w:tmpl w:val="F7BE0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7271D"/>
    <w:multiLevelType w:val="hybridMultilevel"/>
    <w:tmpl w:val="6812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2F24"/>
    <w:multiLevelType w:val="hybridMultilevel"/>
    <w:tmpl w:val="B5BC8C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22FAB"/>
    <w:multiLevelType w:val="hybridMultilevel"/>
    <w:tmpl w:val="D3A4B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309E8"/>
    <w:multiLevelType w:val="hybridMultilevel"/>
    <w:tmpl w:val="0F663C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85B61"/>
    <w:multiLevelType w:val="hybridMultilevel"/>
    <w:tmpl w:val="E54C3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E31FD0"/>
    <w:multiLevelType w:val="hybridMultilevel"/>
    <w:tmpl w:val="49DC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9032F"/>
    <w:multiLevelType w:val="hybridMultilevel"/>
    <w:tmpl w:val="2C6C9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C266F7"/>
    <w:multiLevelType w:val="hybridMultilevel"/>
    <w:tmpl w:val="AB3EF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1B0A5F"/>
    <w:multiLevelType w:val="hybridMultilevel"/>
    <w:tmpl w:val="2056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214409"/>
    <w:multiLevelType w:val="hybridMultilevel"/>
    <w:tmpl w:val="3BF6A0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52958"/>
    <w:multiLevelType w:val="hybridMultilevel"/>
    <w:tmpl w:val="A35C8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C79E5"/>
    <w:multiLevelType w:val="hybridMultilevel"/>
    <w:tmpl w:val="36A2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137452"/>
    <w:multiLevelType w:val="hybridMultilevel"/>
    <w:tmpl w:val="9800D6F0"/>
    <w:lvl w:ilvl="0" w:tplc="6F08E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422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87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AB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CF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CD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41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82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2F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D128A"/>
    <w:multiLevelType w:val="hybridMultilevel"/>
    <w:tmpl w:val="E18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BD39AD"/>
    <w:multiLevelType w:val="hybridMultilevel"/>
    <w:tmpl w:val="3A285B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329425">
    <w:abstractNumId w:val="16"/>
  </w:num>
  <w:num w:numId="2" w16cid:durableId="644547860">
    <w:abstractNumId w:val="19"/>
  </w:num>
  <w:num w:numId="3" w16cid:durableId="1911307132">
    <w:abstractNumId w:val="22"/>
  </w:num>
  <w:num w:numId="4" w16cid:durableId="1736781181">
    <w:abstractNumId w:val="10"/>
  </w:num>
  <w:num w:numId="5" w16cid:durableId="557324384">
    <w:abstractNumId w:val="27"/>
  </w:num>
  <w:num w:numId="6" w16cid:durableId="1329746927">
    <w:abstractNumId w:val="20"/>
  </w:num>
  <w:num w:numId="7" w16cid:durableId="2062632836">
    <w:abstractNumId w:val="12"/>
  </w:num>
  <w:num w:numId="8" w16cid:durableId="1871525357">
    <w:abstractNumId w:val="8"/>
  </w:num>
  <w:num w:numId="9" w16cid:durableId="577790281">
    <w:abstractNumId w:val="5"/>
  </w:num>
  <w:num w:numId="10" w16cid:durableId="1608153078">
    <w:abstractNumId w:val="24"/>
  </w:num>
  <w:num w:numId="11" w16cid:durableId="1006858205">
    <w:abstractNumId w:val="7"/>
  </w:num>
  <w:num w:numId="12" w16cid:durableId="1245919519">
    <w:abstractNumId w:val="23"/>
  </w:num>
  <w:num w:numId="13" w16cid:durableId="1476146281">
    <w:abstractNumId w:val="11"/>
  </w:num>
  <w:num w:numId="14" w16cid:durableId="879516229">
    <w:abstractNumId w:val="14"/>
  </w:num>
  <w:num w:numId="15" w16cid:durableId="1593122927">
    <w:abstractNumId w:val="30"/>
  </w:num>
  <w:num w:numId="16" w16cid:durableId="1467897718">
    <w:abstractNumId w:val="0"/>
  </w:num>
  <w:num w:numId="17" w16cid:durableId="224994427">
    <w:abstractNumId w:val="17"/>
  </w:num>
  <w:num w:numId="18" w16cid:durableId="242573606">
    <w:abstractNumId w:val="29"/>
  </w:num>
  <w:num w:numId="19" w16cid:durableId="1941139546">
    <w:abstractNumId w:val="15"/>
  </w:num>
  <w:num w:numId="20" w16cid:durableId="1163738741">
    <w:abstractNumId w:val="25"/>
  </w:num>
  <w:num w:numId="21" w16cid:durableId="1139229579">
    <w:abstractNumId w:val="13"/>
  </w:num>
  <w:num w:numId="22" w16cid:durableId="613949522">
    <w:abstractNumId w:val="1"/>
  </w:num>
  <w:num w:numId="23" w16cid:durableId="303390697">
    <w:abstractNumId w:val="4"/>
  </w:num>
  <w:num w:numId="24" w16cid:durableId="1560630692">
    <w:abstractNumId w:val="21"/>
  </w:num>
  <w:num w:numId="25" w16cid:durableId="1820269919">
    <w:abstractNumId w:val="26"/>
  </w:num>
  <w:num w:numId="26" w16cid:durableId="1179662545">
    <w:abstractNumId w:val="3"/>
  </w:num>
  <w:num w:numId="27" w16cid:durableId="441077983">
    <w:abstractNumId w:val="6"/>
  </w:num>
  <w:num w:numId="28" w16cid:durableId="2121141177">
    <w:abstractNumId w:val="28"/>
  </w:num>
  <w:num w:numId="29" w16cid:durableId="1728259774">
    <w:abstractNumId w:val="2"/>
  </w:num>
  <w:num w:numId="30" w16cid:durableId="1922329906">
    <w:abstractNumId w:val="18"/>
  </w:num>
  <w:num w:numId="31" w16cid:durableId="514416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F7"/>
    <w:rsid w:val="00002FF4"/>
    <w:rsid w:val="000073AF"/>
    <w:rsid w:val="00014870"/>
    <w:rsid w:val="00015E7B"/>
    <w:rsid w:val="00024D78"/>
    <w:rsid w:val="00026928"/>
    <w:rsid w:val="00030ABF"/>
    <w:rsid w:val="00035D16"/>
    <w:rsid w:val="0003642F"/>
    <w:rsid w:val="00040942"/>
    <w:rsid w:val="0004266D"/>
    <w:rsid w:val="00044279"/>
    <w:rsid w:val="00047054"/>
    <w:rsid w:val="00052654"/>
    <w:rsid w:val="0005390A"/>
    <w:rsid w:val="0005415B"/>
    <w:rsid w:val="00057984"/>
    <w:rsid w:val="00070F7C"/>
    <w:rsid w:val="00072B0E"/>
    <w:rsid w:val="0007328F"/>
    <w:rsid w:val="00074705"/>
    <w:rsid w:val="0007660D"/>
    <w:rsid w:val="000809C3"/>
    <w:rsid w:val="00085508"/>
    <w:rsid w:val="00085F10"/>
    <w:rsid w:val="00087F7E"/>
    <w:rsid w:val="00090109"/>
    <w:rsid w:val="0009067E"/>
    <w:rsid w:val="00092E55"/>
    <w:rsid w:val="000963FA"/>
    <w:rsid w:val="000A4146"/>
    <w:rsid w:val="000C03B1"/>
    <w:rsid w:val="000C1DF9"/>
    <w:rsid w:val="000C29FA"/>
    <w:rsid w:val="000C3CC4"/>
    <w:rsid w:val="000C7E82"/>
    <w:rsid w:val="000D5A69"/>
    <w:rsid w:val="000D7A79"/>
    <w:rsid w:val="000E0D6B"/>
    <w:rsid w:val="000E2A1D"/>
    <w:rsid w:val="000E537C"/>
    <w:rsid w:val="000E61FF"/>
    <w:rsid w:val="000F31B1"/>
    <w:rsid w:val="001026FB"/>
    <w:rsid w:val="001055A7"/>
    <w:rsid w:val="00105C56"/>
    <w:rsid w:val="001119BD"/>
    <w:rsid w:val="00113A33"/>
    <w:rsid w:val="0011683C"/>
    <w:rsid w:val="00117FE8"/>
    <w:rsid w:val="00124C8B"/>
    <w:rsid w:val="00124CB7"/>
    <w:rsid w:val="00133971"/>
    <w:rsid w:val="00137C12"/>
    <w:rsid w:val="00142A42"/>
    <w:rsid w:val="00145E27"/>
    <w:rsid w:val="00157136"/>
    <w:rsid w:val="00164656"/>
    <w:rsid w:val="00170260"/>
    <w:rsid w:val="00181944"/>
    <w:rsid w:val="00184281"/>
    <w:rsid w:val="00195B70"/>
    <w:rsid w:val="001A2890"/>
    <w:rsid w:val="001A33F9"/>
    <w:rsid w:val="001A4D44"/>
    <w:rsid w:val="001A601E"/>
    <w:rsid w:val="001B1351"/>
    <w:rsid w:val="001B18A2"/>
    <w:rsid w:val="001B68E6"/>
    <w:rsid w:val="001B762B"/>
    <w:rsid w:val="001C4DB2"/>
    <w:rsid w:val="001C7D0B"/>
    <w:rsid w:val="001D16CA"/>
    <w:rsid w:val="001D2675"/>
    <w:rsid w:val="001D4C76"/>
    <w:rsid w:val="001E7C8B"/>
    <w:rsid w:val="002007AF"/>
    <w:rsid w:val="00200AD1"/>
    <w:rsid w:val="00201075"/>
    <w:rsid w:val="00205BAF"/>
    <w:rsid w:val="0022081A"/>
    <w:rsid w:val="00221F2D"/>
    <w:rsid w:val="00222054"/>
    <w:rsid w:val="002225C6"/>
    <w:rsid w:val="00224A21"/>
    <w:rsid w:val="002253FE"/>
    <w:rsid w:val="0022580E"/>
    <w:rsid w:val="00226D0D"/>
    <w:rsid w:val="00226EF3"/>
    <w:rsid w:val="00232F2D"/>
    <w:rsid w:val="00240137"/>
    <w:rsid w:val="0024111A"/>
    <w:rsid w:val="002437CE"/>
    <w:rsid w:val="00245EFD"/>
    <w:rsid w:val="00250C2D"/>
    <w:rsid w:val="002511F5"/>
    <w:rsid w:val="00251BBC"/>
    <w:rsid w:val="00253F46"/>
    <w:rsid w:val="00262603"/>
    <w:rsid w:val="00264BA7"/>
    <w:rsid w:val="00264EDA"/>
    <w:rsid w:val="00266BBD"/>
    <w:rsid w:val="002712E8"/>
    <w:rsid w:val="00273580"/>
    <w:rsid w:val="00276C09"/>
    <w:rsid w:val="00277D7C"/>
    <w:rsid w:val="00281498"/>
    <w:rsid w:val="0028314E"/>
    <w:rsid w:val="00283776"/>
    <w:rsid w:val="00283DB2"/>
    <w:rsid w:val="00284A86"/>
    <w:rsid w:val="00287B67"/>
    <w:rsid w:val="0029118F"/>
    <w:rsid w:val="00291F75"/>
    <w:rsid w:val="00292678"/>
    <w:rsid w:val="002952B2"/>
    <w:rsid w:val="002B3879"/>
    <w:rsid w:val="002B7DCE"/>
    <w:rsid w:val="002B7E48"/>
    <w:rsid w:val="002E2CD2"/>
    <w:rsid w:val="002E6000"/>
    <w:rsid w:val="002F23A1"/>
    <w:rsid w:val="002F442E"/>
    <w:rsid w:val="00300A5F"/>
    <w:rsid w:val="003045B7"/>
    <w:rsid w:val="003070A2"/>
    <w:rsid w:val="0031233D"/>
    <w:rsid w:val="00312734"/>
    <w:rsid w:val="00314DA1"/>
    <w:rsid w:val="00322039"/>
    <w:rsid w:val="003222DB"/>
    <w:rsid w:val="003223C7"/>
    <w:rsid w:val="00323F77"/>
    <w:rsid w:val="003263AC"/>
    <w:rsid w:val="003305B1"/>
    <w:rsid w:val="00337F18"/>
    <w:rsid w:val="00347118"/>
    <w:rsid w:val="00347E3A"/>
    <w:rsid w:val="003516FA"/>
    <w:rsid w:val="00351F79"/>
    <w:rsid w:val="003534A1"/>
    <w:rsid w:val="003621B3"/>
    <w:rsid w:val="00362BB1"/>
    <w:rsid w:val="00363853"/>
    <w:rsid w:val="003648C5"/>
    <w:rsid w:val="00372196"/>
    <w:rsid w:val="00375863"/>
    <w:rsid w:val="0039393A"/>
    <w:rsid w:val="00395541"/>
    <w:rsid w:val="00396448"/>
    <w:rsid w:val="003A3323"/>
    <w:rsid w:val="003A5AFE"/>
    <w:rsid w:val="003A6A4B"/>
    <w:rsid w:val="003B4DEB"/>
    <w:rsid w:val="003B4E77"/>
    <w:rsid w:val="003C014B"/>
    <w:rsid w:val="003C1DD2"/>
    <w:rsid w:val="003C4CCE"/>
    <w:rsid w:val="003C72DD"/>
    <w:rsid w:val="003C7AA5"/>
    <w:rsid w:val="003D184D"/>
    <w:rsid w:val="003D3BDA"/>
    <w:rsid w:val="003D3C99"/>
    <w:rsid w:val="003D5B00"/>
    <w:rsid w:val="003D6A0F"/>
    <w:rsid w:val="003E466E"/>
    <w:rsid w:val="003E61D0"/>
    <w:rsid w:val="003E7319"/>
    <w:rsid w:val="003E75D3"/>
    <w:rsid w:val="003F4A65"/>
    <w:rsid w:val="003F7344"/>
    <w:rsid w:val="003F77CF"/>
    <w:rsid w:val="003F7D52"/>
    <w:rsid w:val="00400111"/>
    <w:rsid w:val="00403666"/>
    <w:rsid w:val="00406762"/>
    <w:rsid w:val="00410F05"/>
    <w:rsid w:val="00411710"/>
    <w:rsid w:val="004147E0"/>
    <w:rsid w:val="00417945"/>
    <w:rsid w:val="00421D7D"/>
    <w:rsid w:val="00423CCF"/>
    <w:rsid w:val="00424BD4"/>
    <w:rsid w:val="00425C26"/>
    <w:rsid w:val="00432D1F"/>
    <w:rsid w:val="00445779"/>
    <w:rsid w:val="004462C1"/>
    <w:rsid w:val="00451263"/>
    <w:rsid w:val="00455F77"/>
    <w:rsid w:val="0045625B"/>
    <w:rsid w:val="0045784D"/>
    <w:rsid w:val="00461D8C"/>
    <w:rsid w:val="00467FB5"/>
    <w:rsid w:val="00471DC7"/>
    <w:rsid w:val="00472B02"/>
    <w:rsid w:val="0047570E"/>
    <w:rsid w:val="00476A3C"/>
    <w:rsid w:val="00476C12"/>
    <w:rsid w:val="004811FD"/>
    <w:rsid w:val="00483711"/>
    <w:rsid w:val="00485429"/>
    <w:rsid w:val="0048662A"/>
    <w:rsid w:val="00487F75"/>
    <w:rsid w:val="00493AD2"/>
    <w:rsid w:val="00496964"/>
    <w:rsid w:val="004A3A95"/>
    <w:rsid w:val="004A50D2"/>
    <w:rsid w:val="004B6371"/>
    <w:rsid w:val="004B7951"/>
    <w:rsid w:val="004C088A"/>
    <w:rsid w:val="004C1DB1"/>
    <w:rsid w:val="004C2808"/>
    <w:rsid w:val="004C5B27"/>
    <w:rsid w:val="004C625A"/>
    <w:rsid w:val="004E1EE4"/>
    <w:rsid w:val="004E49DD"/>
    <w:rsid w:val="004E4F69"/>
    <w:rsid w:val="004E6889"/>
    <w:rsid w:val="004F04E2"/>
    <w:rsid w:val="004F4C4D"/>
    <w:rsid w:val="004F7487"/>
    <w:rsid w:val="00504377"/>
    <w:rsid w:val="00504861"/>
    <w:rsid w:val="005049A9"/>
    <w:rsid w:val="00510C02"/>
    <w:rsid w:val="00511CD0"/>
    <w:rsid w:val="005233A4"/>
    <w:rsid w:val="00525F06"/>
    <w:rsid w:val="00526E95"/>
    <w:rsid w:val="00527BE9"/>
    <w:rsid w:val="00535D22"/>
    <w:rsid w:val="0054182D"/>
    <w:rsid w:val="00541AFF"/>
    <w:rsid w:val="00542C57"/>
    <w:rsid w:val="00543607"/>
    <w:rsid w:val="0055095F"/>
    <w:rsid w:val="00551949"/>
    <w:rsid w:val="00552C5D"/>
    <w:rsid w:val="005547EE"/>
    <w:rsid w:val="00555250"/>
    <w:rsid w:val="005571F3"/>
    <w:rsid w:val="00562346"/>
    <w:rsid w:val="0056284A"/>
    <w:rsid w:val="00567EE0"/>
    <w:rsid w:val="00591D5D"/>
    <w:rsid w:val="0059588E"/>
    <w:rsid w:val="005A3316"/>
    <w:rsid w:val="005A54F2"/>
    <w:rsid w:val="005B1FEE"/>
    <w:rsid w:val="005B6968"/>
    <w:rsid w:val="005C6AEE"/>
    <w:rsid w:val="005C75C7"/>
    <w:rsid w:val="005E1A66"/>
    <w:rsid w:val="005E212C"/>
    <w:rsid w:val="005E5127"/>
    <w:rsid w:val="005E5FEF"/>
    <w:rsid w:val="005E7FB2"/>
    <w:rsid w:val="005F1173"/>
    <w:rsid w:val="006035CB"/>
    <w:rsid w:val="00606FA3"/>
    <w:rsid w:val="00611140"/>
    <w:rsid w:val="00612308"/>
    <w:rsid w:val="00615709"/>
    <w:rsid w:val="00617504"/>
    <w:rsid w:val="00617712"/>
    <w:rsid w:val="0062044B"/>
    <w:rsid w:val="00620ED9"/>
    <w:rsid w:val="00621E2A"/>
    <w:rsid w:val="00630F34"/>
    <w:rsid w:val="00632993"/>
    <w:rsid w:val="0064102A"/>
    <w:rsid w:val="00645A58"/>
    <w:rsid w:val="00653B33"/>
    <w:rsid w:val="006617FB"/>
    <w:rsid w:val="006636C7"/>
    <w:rsid w:val="00663846"/>
    <w:rsid w:val="00666D40"/>
    <w:rsid w:val="006673B8"/>
    <w:rsid w:val="0066746E"/>
    <w:rsid w:val="00677889"/>
    <w:rsid w:val="00684918"/>
    <w:rsid w:val="00691846"/>
    <w:rsid w:val="00694050"/>
    <w:rsid w:val="00697E4D"/>
    <w:rsid w:val="006A1766"/>
    <w:rsid w:val="006A7A6E"/>
    <w:rsid w:val="006C1B19"/>
    <w:rsid w:val="006C31E3"/>
    <w:rsid w:val="006C6780"/>
    <w:rsid w:val="006D5DC2"/>
    <w:rsid w:val="006E50F3"/>
    <w:rsid w:val="006F1F55"/>
    <w:rsid w:val="006F64AE"/>
    <w:rsid w:val="006F765A"/>
    <w:rsid w:val="00705769"/>
    <w:rsid w:val="00706FA9"/>
    <w:rsid w:val="007070AC"/>
    <w:rsid w:val="0071051A"/>
    <w:rsid w:val="007106F4"/>
    <w:rsid w:val="00727F74"/>
    <w:rsid w:val="00730897"/>
    <w:rsid w:val="00731933"/>
    <w:rsid w:val="00731BCD"/>
    <w:rsid w:val="00734289"/>
    <w:rsid w:val="00743D95"/>
    <w:rsid w:val="007501A6"/>
    <w:rsid w:val="00752CD4"/>
    <w:rsid w:val="00757C0B"/>
    <w:rsid w:val="007670E1"/>
    <w:rsid w:val="007764C7"/>
    <w:rsid w:val="00782D09"/>
    <w:rsid w:val="00785D0D"/>
    <w:rsid w:val="00787068"/>
    <w:rsid w:val="00787BBD"/>
    <w:rsid w:val="007946B0"/>
    <w:rsid w:val="00795483"/>
    <w:rsid w:val="007A01C9"/>
    <w:rsid w:val="007A0B40"/>
    <w:rsid w:val="007A67D7"/>
    <w:rsid w:val="007B4A25"/>
    <w:rsid w:val="007C1D26"/>
    <w:rsid w:val="007C6DB2"/>
    <w:rsid w:val="007D30DA"/>
    <w:rsid w:val="007D3393"/>
    <w:rsid w:val="007D33D8"/>
    <w:rsid w:val="007D3D1C"/>
    <w:rsid w:val="007F098A"/>
    <w:rsid w:val="007F1F55"/>
    <w:rsid w:val="007F2EF8"/>
    <w:rsid w:val="007F35D3"/>
    <w:rsid w:val="007F7149"/>
    <w:rsid w:val="007F7823"/>
    <w:rsid w:val="00802E32"/>
    <w:rsid w:val="00807BB4"/>
    <w:rsid w:val="00810052"/>
    <w:rsid w:val="00810777"/>
    <w:rsid w:val="0081583F"/>
    <w:rsid w:val="00826014"/>
    <w:rsid w:val="0083255B"/>
    <w:rsid w:val="00832F0A"/>
    <w:rsid w:val="00834A70"/>
    <w:rsid w:val="00837283"/>
    <w:rsid w:val="00851AC9"/>
    <w:rsid w:val="00851FDB"/>
    <w:rsid w:val="0086198D"/>
    <w:rsid w:val="008627B8"/>
    <w:rsid w:val="00863641"/>
    <w:rsid w:val="0086536E"/>
    <w:rsid w:val="00865920"/>
    <w:rsid w:val="00866A7D"/>
    <w:rsid w:val="008717C6"/>
    <w:rsid w:val="00873884"/>
    <w:rsid w:val="00880E1A"/>
    <w:rsid w:val="008815E3"/>
    <w:rsid w:val="008857EE"/>
    <w:rsid w:val="0089208F"/>
    <w:rsid w:val="008A084A"/>
    <w:rsid w:val="008A1DBB"/>
    <w:rsid w:val="008A56E2"/>
    <w:rsid w:val="008B128D"/>
    <w:rsid w:val="008B46B0"/>
    <w:rsid w:val="008B59F7"/>
    <w:rsid w:val="008B633D"/>
    <w:rsid w:val="008B6971"/>
    <w:rsid w:val="008B7FFD"/>
    <w:rsid w:val="008C7975"/>
    <w:rsid w:val="008D2A88"/>
    <w:rsid w:val="008D3EBE"/>
    <w:rsid w:val="008E48B1"/>
    <w:rsid w:val="008F2AA0"/>
    <w:rsid w:val="008F5801"/>
    <w:rsid w:val="0090384F"/>
    <w:rsid w:val="009040DB"/>
    <w:rsid w:val="0090410F"/>
    <w:rsid w:val="00904C5C"/>
    <w:rsid w:val="00910CD7"/>
    <w:rsid w:val="00911960"/>
    <w:rsid w:val="009169B9"/>
    <w:rsid w:val="00916DE2"/>
    <w:rsid w:val="0092088E"/>
    <w:rsid w:val="00920FBD"/>
    <w:rsid w:val="009232D4"/>
    <w:rsid w:val="00926E8A"/>
    <w:rsid w:val="00927EAC"/>
    <w:rsid w:val="00933A14"/>
    <w:rsid w:val="009362D0"/>
    <w:rsid w:val="0094103D"/>
    <w:rsid w:val="00941C01"/>
    <w:rsid w:val="0094219B"/>
    <w:rsid w:val="00943FF6"/>
    <w:rsid w:val="009442FF"/>
    <w:rsid w:val="00953897"/>
    <w:rsid w:val="00956FE2"/>
    <w:rsid w:val="00957F25"/>
    <w:rsid w:val="009718A1"/>
    <w:rsid w:val="00972570"/>
    <w:rsid w:val="00975AF5"/>
    <w:rsid w:val="00976BF7"/>
    <w:rsid w:val="00977F7F"/>
    <w:rsid w:val="00986D1F"/>
    <w:rsid w:val="00990EE6"/>
    <w:rsid w:val="00991E3F"/>
    <w:rsid w:val="009A5A3B"/>
    <w:rsid w:val="009B0330"/>
    <w:rsid w:val="009B3A61"/>
    <w:rsid w:val="009B71AE"/>
    <w:rsid w:val="009B7AC3"/>
    <w:rsid w:val="009D40C5"/>
    <w:rsid w:val="009D5574"/>
    <w:rsid w:val="009D6711"/>
    <w:rsid w:val="009E4486"/>
    <w:rsid w:val="009F21E8"/>
    <w:rsid w:val="009F6363"/>
    <w:rsid w:val="00A00697"/>
    <w:rsid w:val="00A050F9"/>
    <w:rsid w:val="00A13601"/>
    <w:rsid w:val="00A142BB"/>
    <w:rsid w:val="00A14586"/>
    <w:rsid w:val="00A14882"/>
    <w:rsid w:val="00A14C2B"/>
    <w:rsid w:val="00A25C11"/>
    <w:rsid w:val="00A30FD1"/>
    <w:rsid w:val="00A337DE"/>
    <w:rsid w:val="00A35305"/>
    <w:rsid w:val="00A36245"/>
    <w:rsid w:val="00A368A7"/>
    <w:rsid w:val="00A41711"/>
    <w:rsid w:val="00A43A45"/>
    <w:rsid w:val="00A447B6"/>
    <w:rsid w:val="00A45D51"/>
    <w:rsid w:val="00A50806"/>
    <w:rsid w:val="00A5084B"/>
    <w:rsid w:val="00A51F5B"/>
    <w:rsid w:val="00A52411"/>
    <w:rsid w:val="00A52B14"/>
    <w:rsid w:val="00A52EB4"/>
    <w:rsid w:val="00A53BAA"/>
    <w:rsid w:val="00A542DA"/>
    <w:rsid w:val="00A62213"/>
    <w:rsid w:val="00A657C4"/>
    <w:rsid w:val="00A668C3"/>
    <w:rsid w:val="00A70428"/>
    <w:rsid w:val="00A72B72"/>
    <w:rsid w:val="00A7426C"/>
    <w:rsid w:val="00A76558"/>
    <w:rsid w:val="00A80980"/>
    <w:rsid w:val="00A846E4"/>
    <w:rsid w:val="00A86F80"/>
    <w:rsid w:val="00A94A88"/>
    <w:rsid w:val="00A95B14"/>
    <w:rsid w:val="00A96E20"/>
    <w:rsid w:val="00AA721E"/>
    <w:rsid w:val="00AB019A"/>
    <w:rsid w:val="00AB06EA"/>
    <w:rsid w:val="00AB2DDA"/>
    <w:rsid w:val="00AC2BFD"/>
    <w:rsid w:val="00AC2C09"/>
    <w:rsid w:val="00AC5D3F"/>
    <w:rsid w:val="00AC6C8B"/>
    <w:rsid w:val="00AD00F7"/>
    <w:rsid w:val="00AD30B8"/>
    <w:rsid w:val="00AD7044"/>
    <w:rsid w:val="00AD75ED"/>
    <w:rsid w:val="00AE0F54"/>
    <w:rsid w:val="00AE32A2"/>
    <w:rsid w:val="00AE7908"/>
    <w:rsid w:val="00AF14BD"/>
    <w:rsid w:val="00AF55E3"/>
    <w:rsid w:val="00AF5F52"/>
    <w:rsid w:val="00B01FA0"/>
    <w:rsid w:val="00B03343"/>
    <w:rsid w:val="00B0627A"/>
    <w:rsid w:val="00B07D7F"/>
    <w:rsid w:val="00B11421"/>
    <w:rsid w:val="00B135D9"/>
    <w:rsid w:val="00B13706"/>
    <w:rsid w:val="00B1715B"/>
    <w:rsid w:val="00B24BBD"/>
    <w:rsid w:val="00B25DFD"/>
    <w:rsid w:val="00B26CF3"/>
    <w:rsid w:val="00B32067"/>
    <w:rsid w:val="00B33A73"/>
    <w:rsid w:val="00B34EF7"/>
    <w:rsid w:val="00B362B8"/>
    <w:rsid w:val="00B367FA"/>
    <w:rsid w:val="00B369A8"/>
    <w:rsid w:val="00B40974"/>
    <w:rsid w:val="00B40C43"/>
    <w:rsid w:val="00B42A49"/>
    <w:rsid w:val="00B42A84"/>
    <w:rsid w:val="00B542D1"/>
    <w:rsid w:val="00B562D5"/>
    <w:rsid w:val="00B615DD"/>
    <w:rsid w:val="00B66E92"/>
    <w:rsid w:val="00B672D0"/>
    <w:rsid w:val="00B67414"/>
    <w:rsid w:val="00B67EE8"/>
    <w:rsid w:val="00B711BE"/>
    <w:rsid w:val="00B8232B"/>
    <w:rsid w:val="00B913BB"/>
    <w:rsid w:val="00B9392A"/>
    <w:rsid w:val="00B94AB0"/>
    <w:rsid w:val="00B96FC1"/>
    <w:rsid w:val="00B979CF"/>
    <w:rsid w:val="00BA5F60"/>
    <w:rsid w:val="00BB03F4"/>
    <w:rsid w:val="00BB197D"/>
    <w:rsid w:val="00BC1A46"/>
    <w:rsid w:val="00BC34B2"/>
    <w:rsid w:val="00BC63FC"/>
    <w:rsid w:val="00BD6EDF"/>
    <w:rsid w:val="00BD7CF0"/>
    <w:rsid w:val="00BE7EF2"/>
    <w:rsid w:val="00BF16CF"/>
    <w:rsid w:val="00BF2F6B"/>
    <w:rsid w:val="00BF3DAE"/>
    <w:rsid w:val="00BF5D9C"/>
    <w:rsid w:val="00BF62D3"/>
    <w:rsid w:val="00BF713B"/>
    <w:rsid w:val="00C00809"/>
    <w:rsid w:val="00C00CFD"/>
    <w:rsid w:val="00C0288B"/>
    <w:rsid w:val="00C06C77"/>
    <w:rsid w:val="00C12877"/>
    <w:rsid w:val="00C12E18"/>
    <w:rsid w:val="00C25B31"/>
    <w:rsid w:val="00C26518"/>
    <w:rsid w:val="00C329D7"/>
    <w:rsid w:val="00C3750A"/>
    <w:rsid w:val="00C3770B"/>
    <w:rsid w:val="00C422D1"/>
    <w:rsid w:val="00C469D3"/>
    <w:rsid w:val="00C571DD"/>
    <w:rsid w:val="00C61921"/>
    <w:rsid w:val="00C65479"/>
    <w:rsid w:val="00C71FDD"/>
    <w:rsid w:val="00C72284"/>
    <w:rsid w:val="00C81CBF"/>
    <w:rsid w:val="00C8545B"/>
    <w:rsid w:val="00C86BBC"/>
    <w:rsid w:val="00C92074"/>
    <w:rsid w:val="00C954F2"/>
    <w:rsid w:val="00C9550B"/>
    <w:rsid w:val="00CB0BBD"/>
    <w:rsid w:val="00CB4067"/>
    <w:rsid w:val="00CB592A"/>
    <w:rsid w:val="00CB6109"/>
    <w:rsid w:val="00CC4137"/>
    <w:rsid w:val="00CE27CF"/>
    <w:rsid w:val="00CE4BEB"/>
    <w:rsid w:val="00CE621C"/>
    <w:rsid w:val="00D010B5"/>
    <w:rsid w:val="00D03B05"/>
    <w:rsid w:val="00D06A72"/>
    <w:rsid w:val="00D116C0"/>
    <w:rsid w:val="00D1241B"/>
    <w:rsid w:val="00D131C5"/>
    <w:rsid w:val="00D14991"/>
    <w:rsid w:val="00D15B2D"/>
    <w:rsid w:val="00D2073F"/>
    <w:rsid w:val="00D22E21"/>
    <w:rsid w:val="00D24514"/>
    <w:rsid w:val="00D261F8"/>
    <w:rsid w:val="00D26DE8"/>
    <w:rsid w:val="00D305A5"/>
    <w:rsid w:val="00D31C81"/>
    <w:rsid w:val="00D3797F"/>
    <w:rsid w:val="00D44344"/>
    <w:rsid w:val="00D4752E"/>
    <w:rsid w:val="00D55AB1"/>
    <w:rsid w:val="00D66EF8"/>
    <w:rsid w:val="00D76F32"/>
    <w:rsid w:val="00D81FBA"/>
    <w:rsid w:val="00D8225F"/>
    <w:rsid w:val="00D8798E"/>
    <w:rsid w:val="00D9097A"/>
    <w:rsid w:val="00D96AEE"/>
    <w:rsid w:val="00D97BC7"/>
    <w:rsid w:val="00DA553C"/>
    <w:rsid w:val="00DB35E6"/>
    <w:rsid w:val="00DB764D"/>
    <w:rsid w:val="00DD1737"/>
    <w:rsid w:val="00DD58ED"/>
    <w:rsid w:val="00DD59DA"/>
    <w:rsid w:val="00DD7758"/>
    <w:rsid w:val="00DE4C4C"/>
    <w:rsid w:val="00DE66CE"/>
    <w:rsid w:val="00DE7CE5"/>
    <w:rsid w:val="00DF1F77"/>
    <w:rsid w:val="00E05FFE"/>
    <w:rsid w:val="00E20285"/>
    <w:rsid w:val="00E20E22"/>
    <w:rsid w:val="00E22317"/>
    <w:rsid w:val="00E229C8"/>
    <w:rsid w:val="00E23359"/>
    <w:rsid w:val="00E25C6B"/>
    <w:rsid w:val="00E26986"/>
    <w:rsid w:val="00E26AD1"/>
    <w:rsid w:val="00E34CF4"/>
    <w:rsid w:val="00E3597B"/>
    <w:rsid w:val="00E37DF5"/>
    <w:rsid w:val="00E4438B"/>
    <w:rsid w:val="00E46DB2"/>
    <w:rsid w:val="00E4705F"/>
    <w:rsid w:val="00E477C3"/>
    <w:rsid w:val="00E508BB"/>
    <w:rsid w:val="00E54683"/>
    <w:rsid w:val="00E57C49"/>
    <w:rsid w:val="00E629E0"/>
    <w:rsid w:val="00E65269"/>
    <w:rsid w:val="00E65A4C"/>
    <w:rsid w:val="00E66BFD"/>
    <w:rsid w:val="00E72D31"/>
    <w:rsid w:val="00E758A0"/>
    <w:rsid w:val="00E81634"/>
    <w:rsid w:val="00E82F6A"/>
    <w:rsid w:val="00E83CBD"/>
    <w:rsid w:val="00E85C62"/>
    <w:rsid w:val="00EA0CB5"/>
    <w:rsid w:val="00EB090C"/>
    <w:rsid w:val="00EB30C7"/>
    <w:rsid w:val="00EB5C11"/>
    <w:rsid w:val="00ED0859"/>
    <w:rsid w:val="00ED2B2E"/>
    <w:rsid w:val="00EE6AB6"/>
    <w:rsid w:val="00EF1E09"/>
    <w:rsid w:val="00EF1F27"/>
    <w:rsid w:val="00EF20EE"/>
    <w:rsid w:val="00EF25E4"/>
    <w:rsid w:val="00F02776"/>
    <w:rsid w:val="00F04FAB"/>
    <w:rsid w:val="00F06A94"/>
    <w:rsid w:val="00F0742E"/>
    <w:rsid w:val="00F12F2D"/>
    <w:rsid w:val="00F16E5F"/>
    <w:rsid w:val="00F20BAF"/>
    <w:rsid w:val="00F2310D"/>
    <w:rsid w:val="00F24118"/>
    <w:rsid w:val="00F24969"/>
    <w:rsid w:val="00F26DD2"/>
    <w:rsid w:val="00F273C5"/>
    <w:rsid w:val="00F31822"/>
    <w:rsid w:val="00F341A6"/>
    <w:rsid w:val="00F40BC0"/>
    <w:rsid w:val="00F4460A"/>
    <w:rsid w:val="00F47EA1"/>
    <w:rsid w:val="00F55228"/>
    <w:rsid w:val="00F5571F"/>
    <w:rsid w:val="00F565B7"/>
    <w:rsid w:val="00F57DFC"/>
    <w:rsid w:val="00F65EBE"/>
    <w:rsid w:val="00F71485"/>
    <w:rsid w:val="00F800A5"/>
    <w:rsid w:val="00F86B08"/>
    <w:rsid w:val="00F93404"/>
    <w:rsid w:val="00F96C98"/>
    <w:rsid w:val="00FA0530"/>
    <w:rsid w:val="00FA1CDF"/>
    <w:rsid w:val="00FA3219"/>
    <w:rsid w:val="00FA7124"/>
    <w:rsid w:val="00FB15C0"/>
    <w:rsid w:val="00FB7E9E"/>
    <w:rsid w:val="00FC01AA"/>
    <w:rsid w:val="00FC1B34"/>
    <w:rsid w:val="00FC2E5F"/>
    <w:rsid w:val="00FC364A"/>
    <w:rsid w:val="00FC3E0A"/>
    <w:rsid w:val="00FC51AD"/>
    <w:rsid w:val="00FC53C7"/>
    <w:rsid w:val="00FC56B0"/>
    <w:rsid w:val="00FE57C6"/>
    <w:rsid w:val="00FE6030"/>
    <w:rsid w:val="00FF2D4A"/>
    <w:rsid w:val="00FF42F9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26CF"/>
  <w15:chartTrackingRefBased/>
  <w15:docId w15:val="{88E0E6D9-E49F-4D55-878F-F966AA63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73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B733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4EF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34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2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124CB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24CB7"/>
    <w:pPr>
      <w:spacing w:after="0" w:line="240" w:lineRule="auto"/>
    </w:pPr>
    <w:tblPr>
      <w:tblStyleRowBandSize w:val="1"/>
      <w:tblStyleColBandSize w:val="1"/>
      <w:tblBorders>
        <w:top w:val="single" w:sz="4" w:space="0" w:color="E85D04" w:themeColor="accent2"/>
        <w:left w:val="single" w:sz="4" w:space="0" w:color="E85D04" w:themeColor="accent2"/>
        <w:bottom w:val="single" w:sz="4" w:space="0" w:color="E85D04" w:themeColor="accent2"/>
        <w:right w:val="single" w:sz="4" w:space="0" w:color="E85D0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5D04" w:themeFill="accent2"/>
      </w:tcPr>
    </w:tblStylePr>
    <w:tblStylePr w:type="lastRow">
      <w:rPr>
        <w:b/>
        <w:bCs/>
      </w:rPr>
      <w:tblPr/>
      <w:tcPr>
        <w:tcBorders>
          <w:top w:val="double" w:sz="4" w:space="0" w:color="E85D0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5D04" w:themeColor="accent2"/>
          <w:right w:val="single" w:sz="4" w:space="0" w:color="E85D04" w:themeColor="accent2"/>
        </w:tcBorders>
      </w:tcPr>
    </w:tblStylePr>
    <w:tblStylePr w:type="band1Horz">
      <w:tblPr/>
      <w:tcPr>
        <w:tcBorders>
          <w:top w:val="single" w:sz="4" w:space="0" w:color="E85D04" w:themeColor="accent2"/>
          <w:bottom w:val="single" w:sz="4" w:space="0" w:color="E85D0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5D04" w:themeColor="accent2"/>
          <w:left w:val="nil"/>
        </w:tcBorders>
      </w:tcPr>
    </w:tblStylePr>
    <w:tblStylePr w:type="swCell">
      <w:tblPr/>
      <w:tcPr>
        <w:tcBorders>
          <w:top w:val="double" w:sz="4" w:space="0" w:color="E85D04" w:themeColor="accent2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27EAC"/>
    <w:rPr>
      <w:rFonts w:asciiTheme="majorHAnsi" w:eastAsiaTheme="majorEastAsia" w:hAnsiTheme="majorHAnsi" w:cstheme="majorBidi"/>
      <w:color w:val="BB7336" w:themeColor="accent1" w:themeShade="BF"/>
      <w:sz w:val="26"/>
      <w:szCs w:val="26"/>
    </w:rPr>
  </w:style>
  <w:style w:type="table" w:styleId="LightShading-Accent5">
    <w:name w:val="Light Shading Accent 5"/>
    <w:basedOn w:val="TableNormal"/>
    <w:uiPriority w:val="60"/>
    <w:rsid w:val="00D9097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9097A"/>
  </w:style>
  <w:style w:type="table" w:styleId="GridTable4-Accent2">
    <w:name w:val="Grid Table 4 Accent 2"/>
    <w:basedOn w:val="TableNormal"/>
    <w:uiPriority w:val="49"/>
    <w:rsid w:val="00EE6AB6"/>
    <w:pPr>
      <w:spacing w:after="0" w:line="240" w:lineRule="auto"/>
    </w:pPr>
    <w:tblPr>
      <w:tblStyleRowBandSize w:val="1"/>
      <w:tblStyleColBandSize w:val="1"/>
      <w:tblBorders>
        <w:top w:val="single" w:sz="4" w:space="0" w:color="FC9A5D" w:themeColor="accent2" w:themeTint="99"/>
        <w:left w:val="single" w:sz="4" w:space="0" w:color="FC9A5D" w:themeColor="accent2" w:themeTint="99"/>
        <w:bottom w:val="single" w:sz="4" w:space="0" w:color="FC9A5D" w:themeColor="accent2" w:themeTint="99"/>
        <w:right w:val="single" w:sz="4" w:space="0" w:color="FC9A5D" w:themeColor="accent2" w:themeTint="99"/>
        <w:insideH w:val="single" w:sz="4" w:space="0" w:color="FC9A5D" w:themeColor="accent2" w:themeTint="99"/>
        <w:insideV w:val="single" w:sz="4" w:space="0" w:color="FC9A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04" w:themeColor="accent2"/>
          <w:left w:val="single" w:sz="4" w:space="0" w:color="E85D04" w:themeColor="accent2"/>
          <w:bottom w:val="single" w:sz="4" w:space="0" w:color="E85D04" w:themeColor="accent2"/>
          <w:right w:val="single" w:sz="4" w:space="0" w:color="E85D04" w:themeColor="accent2"/>
          <w:insideH w:val="nil"/>
          <w:insideV w:val="nil"/>
        </w:tcBorders>
        <w:shd w:val="clear" w:color="auto" w:fill="E85D04" w:themeFill="accent2"/>
      </w:tcPr>
    </w:tblStylePr>
    <w:tblStylePr w:type="lastRow">
      <w:rPr>
        <w:b/>
        <w:bCs/>
      </w:rPr>
      <w:tblPr/>
      <w:tcPr>
        <w:tcBorders>
          <w:top w:val="double" w:sz="4" w:space="0" w:color="E85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8" w:themeFill="accent2" w:themeFillTint="33"/>
      </w:tcPr>
    </w:tblStylePr>
    <w:tblStylePr w:type="band1Horz">
      <w:tblPr/>
      <w:tcPr>
        <w:shd w:val="clear" w:color="auto" w:fill="FEDDC8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DD"/>
  </w:style>
  <w:style w:type="paragraph" w:styleId="Footer">
    <w:name w:val="footer"/>
    <w:basedOn w:val="Normal"/>
    <w:link w:val="FooterChar"/>
    <w:uiPriority w:val="99"/>
    <w:unhideWhenUsed/>
    <w:rsid w:val="004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DD"/>
  </w:style>
  <w:style w:type="table" w:styleId="ListTable6Colorful-Accent2">
    <w:name w:val="List Table 6 Colorful Accent 2"/>
    <w:basedOn w:val="TableNormal"/>
    <w:uiPriority w:val="51"/>
    <w:rsid w:val="00184281"/>
    <w:pPr>
      <w:spacing w:after="0" w:line="240" w:lineRule="auto"/>
    </w:pPr>
    <w:rPr>
      <w:color w:val="AD4503" w:themeColor="accent2" w:themeShade="BF"/>
    </w:rPr>
    <w:tblPr>
      <w:tblStyleRowBandSize w:val="1"/>
      <w:tblStyleColBandSize w:val="1"/>
      <w:tblBorders>
        <w:top w:val="single" w:sz="4" w:space="0" w:color="E85D04" w:themeColor="accent2"/>
        <w:bottom w:val="single" w:sz="4" w:space="0" w:color="E85D0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85D0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85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8" w:themeFill="accent2" w:themeFillTint="33"/>
      </w:tcPr>
    </w:tblStylePr>
    <w:tblStylePr w:type="band1Horz">
      <w:tblPr/>
      <w:tcPr>
        <w:shd w:val="clear" w:color="auto" w:fill="FEDDC8" w:themeFill="accent2" w:themeFillTint="33"/>
      </w:tcPr>
    </w:tblStylePr>
  </w:style>
  <w:style w:type="paragraph" w:styleId="ListParagraph">
    <w:name w:val="List Paragraph"/>
    <w:aliases w:val="FooterText,Bullet List,cS List Paragraph,numbered,Paragraphe de liste1,Bulletr List Paragraph,列  出  段  落,列  出  段  落  1,List Paragraph2,List Paragraph21,List Paragraph11,Parágrafo da Lista1,Párrafo de lista1,リ  ス  ト  段  落  1,Listeafsnit1"/>
    <w:basedOn w:val="Normal"/>
    <w:link w:val="ListParagraphChar"/>
    <w:uiPriority w:val="34"/>
    <w:qFormat/>
    <w:rsid w:val="007764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0ED9"/>
    <w:rPr>
      <w:rFonts w:asciiTheme="majorHAnsi" w:eastAsiaTheme="majorEastAsia" w:hAnsiTheme="majorHAnsi" w:cstheme="majorBidi"/>
      <w:color w:val="BB7336" w:themeColor="accent1" w:themeShade="BF"/>
      <w:sz w:val="32"/>
      <w:szCs w:val="32"/>
    </w:rPr>
  </w:style>
  <w:style w:type="table" w:styleId="ListTable1Light-Accent4">
    <w:name w:val="List Table 1 Light Accent 4"/>
    <w:basedOn w:val="TableNormal"/>
    <w:uiPriority w:val="46"/>
    <w:rsid w:val="005B1F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2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ListParagraphChar">
    <w:name w:val="List Paragraph Char"/>
    <w:aliases w:val="FooterText Char,Bullet List Char,cS List Paragraph Char,numbered Char,Paragraphe de liste1 Char,Bulletr List Paragraph Char,列  出  段  落 Char,列  出  段  落  1 Char,List Paragraph2 Char,List Paragraph21 Char,List Paragraph11 Char"/>
    <w:basedOn w:val="DefaultParagraphFont"/>
    <w:link w:val="ListParagraph"/>
    <w:uiPriority w:val="34"/>
    <w:locked/>
    <w:rsid w:val="00226D0D"/>
  </w:style>
  <w:style w:type="table" w:styleId="ListTable1Light-Accent1">
    <w:name w:val="List Table 1 Light Accent 1"/>
    <w:basedOn w:val="TableNormal"/>
    <w:uiPriority w:val="46"/>
    <w:rsid w:val="0022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C4A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C4A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BE1" w:themeFill="accent1" w:themeFillTint="33"/>
      </w:tcPr>
    </w:tblStylePr>
    <w:tblStylePr w:type="band1Horz">
      <w:tblPr/>
      <w:tcPr>
        <w:shd w:val="clear" w:color="auto" w:fill="F6EBE1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641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02A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02A"/>
    <w:rPr>
      <w:b/>
      <w:bCs/>
      <w:sz w:val="20"/>
      <w:szCs w:val="20"/>
    </w:rPr>
  </w:style>
  <w:style w:type="table" w:styleId="ListTable3-Accent3">
    <w:name w:val="List Table 3 Accent 3"/>
    <w:basedOn w:val="TableNormal"/>
    <w:uiPriority w:val="48"/>
    <w:rsid w:val="00D3797F"/>
    <w:pPr>
      <w:spacing w:after="0" w:line="240" w:lineRule="auto"/>
    </w:pPr>
    <w:tblPr>
      <w:tblStyleRowBandSize w:val="1"/>
      <w:tblStyleColBandSize w:val="1"/>
      <w:tblBorders>
        <w:top w:val="single" w:sz="4" w:space="0" w:color="DC2F02" w:themeColor="accent3"/>
        <w:left w:val="single" w:sz="4" w:space="0" w:color="DC2F02" w:themeColor="accent3"/>
        <w:bottom w:val="single" w:sz="4" w:space="0" w:color="DC2F02" w:themeColor="accent3"/>
        <w:right w:val="single" w:sz="4" w:space="0" w:color="DC2F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2F02" w:themeFill="accent3"/>
      </w:tcPr>
    </w:tblStylePr>
    <w:tblStylePr w:type="lastRow">
      <w:rPr>
        <w:b/>
        <w:bCs/>
      </w:rPr>
      <w:tblPr/>
      <w:tcPr>
        <w:tcBorders>
          <w:top w:val="double" w:sz="4" w:space="0" w:color="DC2F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2F02" w:themeColor="accent3"/>
          <w:right w:val="single" w:sz="4" w:space="0" w:color="DC2F02" w:themeColor="accent3"/>
        </w:tcBorders>
      </w:tcPr>
    </w:tblStylePr>
    <w:tblStylePr w:type="band1Horz">
      <w:tblPr/>
      <w:tcPr>
        <w:tcBorders>
          <w:top w:val="single" w:sz="4" w:space="0" w:color="DC2F02" w:themeColor="accent3"/>
          <w:bottom w:val="single" w:sz="4" w:space="0" w:color="DC2F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2F02" w:themeColor="accent3"/>
          <w:left w:val="nil"/>
        </w:tcBorders>
      </w:tcPr>
    </w:tblStylePr>
    <w:tblStylePr w:type="swCell">
      <w:tblPr/>
      <w:tcPr>
        <w:tcBorders>
          <w:top w:val="double" w:sz="4" w:space="0" w:color="DC2F02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B36C40"/>
      </a:dk2>
      <a:lt2>
        <a:srgbClr val="FFF498"/>
      </a:lt2>
      <a:accent1>
        <a:srgbClr val="D59E6E"/>
      </a:accent1>
      <a:accent2>
        <a:srgbClr val="E85D04"/>
      </a:accent2>
      <a:accent3>
        <a:srgbClr val="DC2F02"/>
      </a:accent3>
      <a:accent4>
        <a:srgbClr val="FFC000"/>
      </a:accent4>
      <a:accent5>
        <a:srgbClr val="5B9BD5"/>
      </a:accent5>
      <a:accent6>
        <a:srgbClr val="70AD47"/>
      </a:accent6>
      <a:hlink>
        <a:srgbClr val="B36C40"/>
      </a:hlink>
      <a:folHlink>
        <a:srgbClr val="833C0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6D87633A914982032CB9EEE36AB5" ma:contentTypeVersion="7" ma:contentTypeDescription="Create a new document." ma:contentTypeScope="" ma:versionID="95650b1e668ecf14a7b37f6fab8a6ef2">
  <xsd:schema xmlns:xsd="http://www.w3.org/2001/XMLSchema" xmlns:xs="http://www.w3.org/2001/XMLSchema" xmlns:p="http://schemas.microsoft.com/office/2006/metadata/properties" xmlns:ns3="8dc0963e-725f-4df9-9ee5-3409d10e749b" xmlns:ns4="06c98763-7e7f-47de-a217-4e462391dcfe" targetNamespace="http://schemas.microsoft.com/office/2006/metadata/properties" ma:root="true" ma:fieldsID="fa4d687149612bc3b1b818fcaf75cf7f" ns3:_="" ns4:_="">
    <xsd:import namespace="8dc0963e-725f-4df9-9ee5-3409d10e749b"/>
    <xsd:import namespace="06c98763-7e7f-47de-a217-4e462391dc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63e-725f-4df9-9ee5-3409d10e7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98763-7e7f-47de-a217-4e462391d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464D6-CB41-44CB-870E-B5306D66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4B90F-70E5-47E2-B86D-1B566B264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FD535-1FFA-40C2-AD3A-BB227B2D0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63e-725f-4df9-9ee5-3409d10e749b"/>
    <ds:schemaRef ds:uri="06c98763-7e7f-47de-a217-4e462391d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Roerink</dc:creator>
  <cp:keywords/>
  <dc:description/>
  <cp:lastModifiedBy>Anne-Marie Roerink</cp:lastModifiedBy>
  <cp:revision>5</cp:revision>
  <dcterms:created xsi:type="dcterms:W3CDTF">2024-11-12T16:21:00Z</dcterms:created>
  <dcterms:modified xsi:type="dcterms:W3CDTF">2024-11-12T21:15:00Z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0x01010047CC6D87633A914982032CB9EEE36AB5</vt:lpwstr>
  </property>
</Properties>
</file>