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5221BC33">
            <wp:simplePos x="0" y="0"/>
            <wp:positionH relativeFrom="margin">
              <wp:posOffset>2124075</wp:posOffset>
            </wp:positionH>
            <wp:positionV relativeFrom="paragraph">
              <wp:posOffset>-19050</wp:posOffset>
            </wp:positionV>
            <wp:extent cx="1933575" cy="69336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872" cy="69526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5A72D5" w:rsidRDefault="0054182D" w:rsidP="00B34EF7">
      <w:pPr>
        <w:pStyle w:val="Title"/>
        <w:rPr>
          <w:sz w:val="32"/>
          <w:szCs w:val="32"/>
        </w:rPr>
      </w:pPr>
    </w:p>
    <w:p w14:paraId="2AC16FEE" w14:textId="7CB1A388"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865920">
        <w:rPr>
          <w:sz w:val="44"/>
          <w:szCs w:val="44"/>
        </w:rPr>
        <w:t>1</w:t>
      </w:r>
      <w:r w:rsidR="00D0131F">
        <w:rPr>
          <w:sz w:val="44"/>
          <w:szCs w:val="44"/>
        </w:rPr>
        <w:t>2</w:t>
      </w:r>
      <w:r w:rsidR="00705769">
        <w:rPr>
          <w:sz w:val="44"/>
          <w:szCs w:val="44"/>
        </w:rPr>
        <w:t>.</w:t>
      </w:r>
      <w:r w:rsidR="00031FFF">
        <w:rPr>
          <w:sz w:val="44"/>
          <w:szCs w:val="44"/>
        </w:rPr>
        <w:t>29</w:t>
      </w:r>
      <w:r w:rsidR="004147E0">
        <w:rPr>
          <w:sz w:val="44"/>
          <w:szCs w:val="44"/>
        </w:rPr>
        <w:t>.2024</w:t>
      </w:r>
    </w:p>
    <w:p w14:paraId="74281325" w14:textId="0CB9B3C4" w:rsidR="00757C0B" w:rsidRPr="00CC4137" w:rsidRDefault="00F83117" w:rsidP="00757C0B">
      <w:pPr>
        <w:pStyle w:val="Heading1"/>
        <w:rPr>
          <w:b/>
          <w:bCs/>
          <w:color w:val="800000"/>
          <w:sz w:val="26"/>
          <w:szCs w:val="26"/>
        </w:rPr>
      </w:pPr>
      <w:r>
        <w:rPr>
          <w:b/>
          <w:bCs/>
          <w:color w:val="800000"/>
          <w:sz w:val="26"/>
          <w:szCs w:val="26"/>
        </w:rPr>
        <w:t>The Quad-Week</w:t>
      </w:r>
      <w:r w:rsidR="00807BB4" w:rsidRPr="00CC4137">
        <w:rPr>
          <w:b/>
          <w:bCs/>
          <w:color w:val="800000"/>
          <w:sz w:val="26"/>
          <w:szCs w:val="26"/>
        </w:rPr>
        <w:t xml:space="preserve"> in Review</w:t>
      </w:r>
    </w:p>
    <w:p w14:paraId="5ACA9212" w14:textId="5FF1F1D9" w:rsidR="00D0131F" w:rsidRPr="005A72D5" w:rsidRDefault="00D0131F" w:rsidP="00D0131F">
      <w:pPr>
        <w:pStyle w:val="NoSpacing"/>
        <w:numPr>
          <w:ilvl w:val="0"/>
          <w:numId w:val="31"/>
        </w:numPr>
        <w:rPr>
          <w:rFonts w:cstheme="minorHAnsi"/>
        </w:rPr>
      </w:pPr>
      <w:bookmarkStart w:id="0" w:name="_Hlk182319354"/>
      <w:r w:rsidRPr="00D0131F">
        <w:rPr>
          <w:rFonts w:cstheme="minorHAnsi"/>
        </w:rPr>
        <w:t xml:space="preserve">Consumer sentiment </w:t>
      </w:r>
      <w:r w:rsidR="00031FFF">
        <w:rPr>
          <w:rFonts w:cstheme="minorHAnsi"/>
        </w:rPr>
        <w:t>soared 14% in December</w:t>
      </w:r>
      <w:r w:rsidR="009F546F">
        <w:rPr>
          <w:rFonts w:cstheme="minorHAnsi"/>
        </w:rPr>
        <w:t xml:space="preserve"> 2024</w:t>
      </w:r>
      <w:r w:rsidR="00031FFF">
        <w:rPr>
          <w:rFonts w:cstheme="minorHAnsi"/>
        </w:rPr>
        <w:t xml:space="preserve">, reaching its highest rating since July, according to the </w:t>
      </w:r>
      <w:r w:rsidR="00031FFF" w:rsidRPr="005A72D5">
        <w:rPr>
          <w:rFonts w:cstheme="minorHAnsi"/>
        </w:rPr>
        <w:t>University of Michigan Index. These trends are attributed to a sharp increase in consumers believing inflation will slow down and the economy will improve</w:t>
      </w:r>
      <w:r w:rsidR="009F546F" w:rsidRPr="005A72D5">
        <w:rPr>
          <w:rFonts w:cstheme="minorHAnsi"/>
        </w:rPr>
        <w:t xml:space="preserve"> in the near term</w:t>
      </w:r>
      <w:r w:rsidR="00031FFF" w:rsidRPr="005A72D5">
        <w:rPr>
          <w:rFonts w:cstheme="minorHAnsi"/>
        </w:rPr>
        <w:t xml:space="preserve">. The Index rose across the population, including all ages, income levels, education, and regions of the country. Sentiment is now just shy of the midpoint between the pre-pandemic reading and the historic low reached in June 2022. </w:t>
      </w:r>
      <w:r w:rsidRPr="005A72D5">
        <w:rPr>
          <w:rFonts w:cstheme="minorHAnsi"/>
        </w:rPr>
        <w:t xml:space="preserve"> </w:t>
      </w:r>
    </w:p>
    <w:p w14:paraId="1E994F0E" w14:textId="0E2AF1CA" w:rsidR="005A72D5" w:rsidRPr="005A72D5" w:rsidRDefault="005A72D5" w:rsidP="005A72D5">
      <w:pPr>
        <w:pStyle w:val="NoSpacing"/>
        <w:numPr>
          <w:ilvl w:val="0"/>
          <w:numId w:val="31"/>
        </w:numPr>
        <w:rPr>
          <w:rFonts w:cstheme="minorHAnsi"/>
        </w:rPr>
      </w:pPr>
      <w:r w:rsidRPr="005A72D5">
        <w:rPr>
          <w:rFonts w:cstheme="minorHAnsi"/>
        </w:rPr>
        <w:t xml:space="preserve">With more than two-thirds of the U.S. economy fueled by consumer spending, this rising optimism tends to translate into greater spending. This was certainly reflected during post-Thanksgiving through the end-of-year shopping patterns. The Circana survey of primary shoppers found that 52% dined at restaurants, up from 43% the month prior. At retail, total and food and beverage dollar sales gained 2.1% in December, though unit sales were flat. The fresh perimeter increased sales by 3.5% with units up 0.4% over December last year. It is important to note that December sales reporting went through 12/31/2023 last year and 12/29/2024 this year, which </w:t>
      </w:r>
      <w:r>
        <w:rPr>
          <w:rFonts w:cstheme="minorHAnsi"/>
        </w:rPr>
        <w:t xml:space="preserve">no doubt </w:t>
      </w:r>
      <w:r w:rsidRPr="005A72D5">
        <w:rPr>
          <w:rFonts w:cstheme="minorHAnsi"/>
        </w:rPr>
        <w:t>move</w:t>
      </w:r>
      <w:r>
        <w:rPr>
          <w:rFonts w:cstheme="minorHAnsi"/>
        </w:rPr>
        <w:t>d</w:t>
      </w:r>
      <w:r w:rsidRPr="005A72D5">
        <w:rPr>
          <w:rFonts w:cstheme="minorHAnsi"/>
        </w:rPr>
        <w:t xml:space="preserve"> some of the New Year’s meal dollars into January 2025.</w:t>
      </w:r>
    </w:p>
    <w:p w14:paraId="17072254" w14:textId="603D23A6" w:rsidR="00D0131F" w:rsidRPr="00031FFF" w:rsidRDefault="00031FFF" w:rsidP="00031FFF">
      <w:pPr>
        <w:pStyle w:val="NoSpacing"/>
        <w:numPr>
          <w:ilvl w:val="0"/>
          <w:numId w:val="31"/>
        </w:numPr>
        <w:rPr>
          <w:rFonts w:cstheme="minorHAnsi"/>
        </w:rPr>
      </w:pPr>
      <w:r w:rsidRPr="005A72D5">
        <w:rPr>
          <w:rFonts w:cstheme="minorHAnsi"/>
        </w:rPr>
        <w:t>2024 ended up being a strong year for grocery retailers, with total food and beverage sales of $922 billion</w:t>
      </w:r>
      <w:r>
        <w:rPr>
          <w:rFonts w:cstheme="minorHAnsi"/>
        </w:rPr>
        <w:t>. Sales rose 3.0% in dollars and 1.3% in units. Everyday demand was strong due to purchasing restaurant food less often while cooking more in an effort to save money. H</w:t>
      </w:r>
      <w:r w:rsidRPr="00031FFF">
        <w:rPr>
          <w:rFonts w:cstheme="minorHAnsi"/>
        </w:rPr>
        <w:t>olidays and special occasions remain</w:t>
      </w:r>
      <w:r>
        <w:rPr>
          <w:rFonts w:cstheme="minorHAnsi"/>
        </w:rPr>
        <w:t>ed</w:t>
      </w:r>
      <w:r w:rsidRPr="00031FFF">
        <w:rPr>
          <w:rFonts w:cstheme="minorHAnsi"/>
        </w:rPr>
        <w:t xml:space="preserve"> a time when consumers splurge</w:t>
      </w:r>
      <w:r>
        <w:rPr>
          <w:rFonts w:cstheme="minorHAnsi"/>
        </w:rPr>
        <w:t>d</w:t>
      </w:r>
      <w:r w:rsidRPr="00031FFF">
        <w:rPr>
          <w:rFonts w:cstheme="minorHAnsi"/>
        </w:rPr>
        <w:t xml:space="preserve"> a bit more</w:t>
      </w:r>
      <w:r>
        <w:rPr>
          <w:rFonts w:cstheme="minorHAnsi"/>
        </w:rPr>
        <w:t xml:space="preserve"> prompting new records for many of the big national holidays</w:t>
      </w:r>
      <w:r w:rsidRPr="00031FFF">
        <w:rPr>
          <w:rFonts w:cstheme="minorHAnsi"/>
        </w:rPr>
        <w:t xml:space="preserve">. </w:t>
      </w:r>
    </w:p>
    <w:bookmarkEnd w:id="0"/>
    <w:p w14:paraId="2616F2F0" w14:textId="77777777" w:rsidR="00A7426C" w:rsidRPr="005A72D5" w:rsidRDefault="00A7426C" w:rsidP="00A7426C">
      <w:pPr>
        <w:pStyle w:val="NoSpacing"/>
        <w:rPr>
          <w:rFonts w:ascii="Arial" w:hAnsi="Arial" w:cs="Arial"/>
          <w:sz w:val="18"/>
          <w:szCs w:val="18"/>
        </w:rPr>
      </w:pPr>
    </w:p>
    <w:p w14:paraId="737234D5" w14:textId="3B512D43" w:rsidR="00927EAC" w:rsidRPr="00CC4137" w:rsidRDefault="007D3393" w:rsidP="00927EAC">
      <w:pPr>
        <w:pStyle w:val="Heading2"/>
        <w:rPr>
          <w:b/>
          <w:bCs/>
          <w:color w:val="800000"/>
        </w:rPr>
      </w:pPr>
      <w:r w:rsidRPr="00CC4137">
        <w:rPr>
          <w:b/>
          <w:bCs/>
          <w:color w:val="800000"/>
        </w:rPr>
        <w:t xml:space="preserve">Fresh Mushroom </w:t>
      </w:r>
      <w:r w:rsidR="00927EAC" w:rsidRPr="00CC4137">
        <w:rPr>
          <w:b/>
          <w:bCs/>
          <w:color w:val="800000"/>
        </w:rPr>
        <w:t>Dollars, Units and Volume Performance</w:t>
      </w:r>
    </w:p>
    <w:p w14:paraId="47797D03" w14:textId="63B518BC" w:rsidR="00472B02" w:rsidRDefault="00226EF3" w:rsidP="00D3797F">
      <w:pPr>
        <w:pStyle w:val="NoSpacing"/>
        <w:ind w:right="-180"/>
      </w:pPr>
      <w:r>
        <w:t>The quad-week generated</w:t>
      </w:r>
      <w:r w:rsidR="00D0131F">
        <w:t xml:space="preserve"> </w:t>
      </w:r>
      <w:r w:rsidR="001B68E6">
        <w:t>$</w:t>
      </w:r>
      <w:r w:rsidR="005A72D5">
        <w:t>121</w:t>
      </w:r>
      <w:r w:rsidR="001B68E6">
        <w:t xml:space="preserve"> million</w:t>
      </w:r>
      <w:r w:rsidR="00FA0530">
        <w:t xml:space="preserve"> in sales, which </w:t>
      </w:r>
      <w:r w:rsidR="00CC4137">
        <w:t>meant dollar</w:t>
      </w:r>
      <w:r w:rsidR="00D3797F">
        <w:t xml:space="preserve"> sales</w:t>
      </w:r>
      <w:r w:rsidR="00CC4137">
        <w:t xml:space="preserve"> </w:t>
      </w:r>
      <w:r w:rsidR="00510C02">
        <w:t xml:space="preserve">were down </w:t>
      </w:r>
      <w:r w:rsidR="005A72D5">
        <w:t>4</w:t>
      </w:r>
      <w:r w:rsidR="00510C02">
        <w:t>.</w:t>
      </w:r>
      <w:r w:rsidR="00D0131F">
        <w:t>8</w:t>
      </w:r>
      <w:r w:rsidR="00510C02">
        <w:t>% from</w:t>
      </w:r>
      <w:r w:rsidR="001B68E6">
        <w:t xml:space="preserve"> year-ago levels</w:t>
      </w:r>
      <w:r>
        <w:t>.</w:t>
      </w:r>
      <w:r w:rsidR="00865920">
        <w:t xml:space="preserve"> </w:t>
      </w:r>
      <w:r w:rsidR="005A72D5">
        <w:t>As seen across the departments, year-over-year growth results are impacted by the cut-off dates of the quad-weeks relative to the holiday timing. In 2023, the comparable quad-week cut off on December 31</w:t>
      </w:r>
      <w:r w:rsidR="005A72D5" w:rsidRPr="005A72D5">
        <w:rPr>
          <w:vertAlign w:val="superscript"/>
        </w:rPr>
        <w:t>st</w:t>
      </w:r>
      <w:r w:rsidR="005A72D5">
        <w:t>, likely capturing all or most New Year’s food dollars. This year, the quad-week cut off on December 29</w:t>
      </w:r>
      <w:r w:rsidR="005A72D5" w:rsidRPr="005A72D5">
        <w:rPr>
          <w:vertAlign w:val="superscript"/>
        </w:rPr>
        <w:t>th</w:t>
      </w:r>
      <w:r w:rsidR="005A72D5">
        <w:t xml:space="preserve">, which means perishables, in particular, are likely to move into the January report. </w:t>
      </w:r>
      <w:r w:rsidR="001B68E6">
        <w:t>P</w:t>
      </w:r>
      <w:r w:rsidR="00865920">
        <w:t xml:space="preserve">ounds </w:t>
      </w:r>
      <w:r w:rsidR="00D0131F">
        <w:t xml:space="preserve">decreased </w:t>
      </w:r>
      <w:r w:rsidR="005A72D5">
        <w:t>also, at -3.6%</w:t>
      </w:r>
      <w:r w:rsidR="001B68E6">
        <w:t xml:space="preserve">. </w:t>
      </w:r>
    </w:p>
    <w:p w14:paraId="40FAA348" w14:textId="6A56CCC2" w:rsidR="00AD7044" w:rsidRPr="006D5DC2" w:rsidRDefault="00AD7044" w:rsidP="00472B02">
      <w:pPr>
        <w:pStyle w:val="NoSpacing"/>
        <w:rPr>
          <w:sz w:val="6"/>
          <w:szCs w:val="6"/>
        </w:rPr>
      </w:pPr>
    </w:p>
    <w:tbl>
      <w:tblPr>
        <w:tblStyle w:val="ListTable3-Accent3"/>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D379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shd w:val="clear" w:color="auto" w:fill="800000"/>
          </w:tcPr>
          <w:p w14:paraId="0624EE87" w14:textId="452C2900" w:rsidR="00B672D0" w:rsidRPr="00124CB7" w:rsidRDefault="00B672D0" w:rsidP="00B672D0">
            <w:pPr>
              <w:pStyle w:val="NoSpacing"/>
            </w:pPr>
            <w:r>
              <w:t>Fresh mushrooms</w:t>
            </w:r>
          </w:p>
        </w:tc>
        <w:tc>
          <w:tcPr>
            <w:tcW w:w="2163" w:type="dxa"/>
            <w:shd w:val="clear" w:color="auto" w:fill="800000"/>
          </w:tcPr>
          <w:p w14:paraId="51DF6E55" w14:textId="198D381B"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5A72D5">
              <w:t>12/29/2024</w:t>
            </w:r>
          </w:p>
        </w:tc>
        <w:tc>
          <w:tcPr>
            <w:tcW w:w="954" w:type="dxa"/>
            <w:shd w:val="clear" w:color="auto" w:fill="800000"/>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shd w:val="clear" w:color="auto" w:fill="800000"/>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shd w:val="clear" w:color="auto" w:fill="800000"/>
          </w:tcPr>
          <w:p w14:paraId="3BBE24C3" w14:textId="2EFCC949"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5A72D5">
              <w:t>12/29/2024</w:t>
            </w:r>
          </w:p>
        </w:tc>
        <w:tc>
          <w:tcPr>
            <w:tcW w:w="1121" w:type="dxa"/>
            <w:shd w:val="clear" w:color="auto" w:fill="800000"/>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shd w:val="clear" w:color="auto" w:fill="800000"/>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6C1B19" w14:paraId="22401D5B" w14:textId="77777777" w:rsidTr="006D12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6C1B19" w:rsidRPr="006C1B19" w:rsidRDefault="006C1B19" w:rsidP="006C1B19">
            <w:pPr>
              <w:pStyle w:val="NoSpacing"/>
              <w:rPr>
                <w:rFonts w:cstheme="minorHAnsi"/>
                <w:b w:val="0"/>
                <w:bCs w:val="0"/>
              </w:rPr>
            </w:pPr>
            <w:r w:rsidRPr="006C1B19">
              <w:rPr>
                <w:rFonts w:cstheme="minorHAnsi"/>
                <w:b w:val="0"/>
                <w:bCs w:val="0"/>
              </w:rPr>
              <w:t>Dollars</w:t>
            </w:r>
          </w:p>
        </w:tc>
        <w:tc>
          <w:tcPr>
            <w:tcW w:w="2163" w:type="dxa"/>
            <w:vAlign w:val="center"/>
          </w:tcPr>
          <w:p w14:paraId="6D1FCB95" w14:textId="0B08D45B" w:rsidR="006C1B19" w:rsidRPr="006C1B19" w:rsidRDefault="006C1B19" w:rsidP="006C1B19">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$1</w:t>
            </w:r>
            <w:r w:rsidR="005A72D5">
              <w:rPr>
                <w:rFonts w:cstheme="minorHAnsi"/>
              </w:rPr>
              <w:t>21.0</w:t>
            </w:r>
            <w:r w:rsidR="00D0131F">
              <w:rPr>
                <w:rFonts w:cstheme="minorHAnsi"/>
              </w:rPr>
              <w:t>M</w:t>
            </w:r>
          </w:p>
        </w:tc>
        <w:tc>
          <w:tcPr>
            <w:tcW w:w="954" w:type="dxa"/>
            <w:vAlign w:val="center"/>
          </w:tcPr>
          <w:p w14:paraId="77D2040B" w14:textId="350BE0E9"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5A72D5">
              <w:rPr>
                <w:rFonts w:cstheme="minorHAnsi"/>
              </w:rPr>
              <w:t>4</w:t>
            </w:r>
            <w:r w:rsidR="00D0131F">
              <w:rPr>
                <w:rFonts w:cstheme="minorHAnsi"/>
              </w:rPr>
              <w:t>.8</w:t>
            </w:r>
            <w:r w:rsidRPr="006C1B19">
              <w:rPr>
                <w:rFonts w:cstheme="minorHAnsi"/>
              </w:rPr>
              <w:t>%</w:t>
            </w:r>
          </w:p>
        </w:tc>
        <w:tc>
          <w:tcPr>
            <w:tcW w:w="971" w:type="dxa"/>
            <w:vAlign w:val="center"/>
          </w:tcPr>
          <w:p w14:paraId="4EF21002" w14:textId="5490C068"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5A72D5">
              <w:rPr>
                <w:rFonts w:cstheme="minorHAnsi"/>
              </w:rPr>
              <w:t>6.5</w:t>
            </w:r>
            <w:r w:rsidRPr="006C1B19">
              <w:rPr>
                <w:rFonts w:cstheme="minorHAnsi"/>
              </w:rPr>
              <w:t>%</w:t>
            </w:r>
          </w:p>
        </w:tc>
        <w:tc>
          <w:tcPr>
            <w:tcW w:w="2074" w:type="dxa"/>
            <w:vAlign w:val="center"/>
          </w:tcPr>
          <w:p w14:paraId="375CF9DD" w14:textId="18AC922B" w:rsidR="006C1B19" w:rsidRPr="006C1B19" w:rsidRDefault="006C1B19" w:rsidP="006C1B19">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$1</w:t>
            </w:r>
            <w:r w:rsidR="00D0131F">
              <w:rPr>
                <w:rFonts w:cstheme="minorHAnsi"/>
              </w:rPr>
              <w:t>.5</w:t>
            </w:r>
            <w:r w:rsidR="005A72D5">
              <w:rPr>
                <w:rFonts w:cstheme="minorHAnsi"/>
              </w:rPr>
              <w:t>17</w:t>
            </w:r>
            <w:r w:rsidR="00D0131F">
              <w:rPr>
                <w:rFonts w:cstheme="minorHAnsi"/>
              </w:rPr>
              <w:t>B</w:t>
            </w:r>
          </w:p>
        </w:tc>
        <w:tc>
          <w:tcPr>
            <w:tcW w:w="1121" w:type="dxa"/>
            <w:vAlign w:val="center"/>
          </w:tcPr>
          <w:p w14:paraId="04EA64A9" w14:textId="7E4A1E0F"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D0131F">
              <w:rPr>
                <w:rFonts w:cstheme="minorHAnsi"/>
              </w:rPr>
              <w:t>1.</w:t>
            </w:r>
            <w:r w:rsidR="005A72D5">
              <w:rPr>
                <w:rFonts w:cstheme="minorHAnsi"/>
              </w:rPr>
              <w:t>9</w:t>
            </w:r>
            <w:r w:rsidRPr="006C1B19">
              <w:rPr>
                <w:rFonts w:cstheme="minorHAnsi"/>
              </w:rPr>
              <w:t>%</w:t>
            </w:r>
          </w:p>
        </w:tc>
        <w:tc>
          <w:tcPr>
            <w:tcW w:w="1194" w:type="dxa"/>
            <w:vAlign w:val="center"/>
          </w:tcPr>
          <w:p w14:paraId="2F2464E9" w14:textId="5AE10593"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D0131F">
              <w:rPr>
                <w:rFonts w:cstheme="minorHAnsi"/>
              </w:rPr>
              <w:t>4.5</w:t>
            </w:r>
            <w:r w:rsidRPr="006C1B19">
              <w:rPr>
                <w:rFonts w:cstheme="minorHAnsi"/>
              </w:rPr>
              <w:t>%</w:t>
            </w:r>
          </w:p>
        </w:tc>
      </w:tr>
      <w:tr w:rsidR="006C1B19" w14:paraId="31FB8D29" w14:textId="77777777" w:rsidTr="006D12DD">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6C1B19" w:rsidRPr="006C1B19" w:rsidRDefault="006C1B19" w:rsidP="006C1B19">
            <w:pPr>
              <w:pStyle w:val="NoSpacing"/>
              <w:rPr>
                <w:rFonts w:cstheme="minorHAnsi"/>
                <w:b w:val="0"/>
                <w:bCs w:val="0"/>
              </w:rPr>
            </w:pPr>
            <w:r w:rsidRPr="006C1B19">
              <w:rPr>
                <w:rFonts w:cstheme="minorHAnsi"/>
                <w:b w:val="0"/>
                <w:bCs w:val="0"/>
              </w:rPr>
              <w:t>Units</w:t>
            </w:r>
          </w:p>
        </w:tc>
        <w:tc>
          <w:tcPr>
            <w:tcW w:w="2163" w:type="dxa"/>
            <w:vAlign w:val="center"/>
          </w:tcPr>
          <w:p w14:paraId="3CA03520" w14:textId="0385E5A3" w:rsidR="006C1B19" w:rsidRPr="006C1B19" w:rsidRDefault="005A72D5"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39.3</w:t>
            </w:r>
            <w:r w:rsidR="00D0131F">
              <w:rPr>
                <w:rFonts w:cstheme="minorHAnsi"/>
              </w:rPr>
              <w:t>M</w:t>
            </w:r>
          </w:p>
        </w:tc>
        <w:tc>
          <w:tcPr>
            <w:tcW w:w="954" w:type="dxa"/>
            <w:vAlign w:val="center"/>
          </w:tcPr>
          <w:p w14:paraId="6922F333" w14:textId="5A42FE81" w:rsidR="006C1B19" w:rsidRPr="006C1B19" w:rsidRDefault="006C1B19"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6C1B19">
              <w:rPr>
                <w:rFonts w:cstheme="minorHAnsi"/>
              </w:rPr>
              <w:t>-</w:t>
            </w:r>
            <w:r w:rsidR="005A72D5">
              <w:rPr>
                <w:rFonts w:cstheme="minorHAnsi"/>
              </w:rPr>
              <w:t>3.3</w:t>
            </w:r>
            <w:r w:rsidRPr="006C1B19">
              <w:rPr>
                <w:rFonts w:cstheme="minorHAnsi"/>
              </w:rPr>
              <w:t>%</w:t>
            </w:r>
          </w:p>
        </w:tc>
        <w:tc>
          <w:tcPr>
            <w:tcW w:w="971" w:type="dxa"/>
            <w:vAlign w:val="center"/>
          </w:tcPr>
          <w:p w14:paraId="7CD8DEEA" w14:textId="455C865B" w:rsidR="006C1B19" w:rsidRPr="006C1B19" w:rsidRDefault="006C1B19"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6C1B19">
              <w:rPr>
                <w:rFonts w:cstheme="minorHAnsi"/>
              </w:rPr>
              <w:t>-</w:t>
            </w:r>
            <w:r w:rsidR="00D0131F">
              <w:rPr>
                <w:rFonts w:cstheme="minorHAnsi"/>
              </w:rPr>
              <w:t>7.0</w:t>
            </w:r>
            <w:r w:rsidRPr="006C1B19">
              <w:rPr>
                <w:rFonts w:cstheme="minorHAnsi"/>
              </w:rPr>
              <w:t>%</w:t>
            </w:r>
          </w:p>
        </w:tc>
        <w:tc>
          <w:tcPr>
            <w:tcW w:w="2074" w:type="dxa"/>
            <w:vAlign w:val="center"/>
          </w:tcPr>
          <w:p w14:paraId="26ECACB9" w14:textId="38838A01" w:rsidR="006C1B19" w:rsidRPr="006C1B19" w:rsidRDefault="006C1B19"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6C1B19">
              <w:rPr>
                <w:rFonts w:cstheme="minorHAnsi"/>
              </w:rPr>
              <w:t>50</w:t>
            </w:r>
            <w:r w:rsidR="005A72D5">
              <w:rPr>
                <w:rFonts w:cstheme="minorHAnsi"/>
              </w:rPr>
              <w:t>0.1</w:t>
            </w:r>
            <w:r w:rsidR="00D0131F">
              <w:rPr>
                <w:rFonts w:cstheme="minorHAnsi"/>
              </w:rPr>
              <w:t>M</w:t>
            </w:r>
          </w:p>
        </w:tc>
        <w:tc>
          <w:tcPr>
            <w:tcW w:w="1121" w:type="dxa"/>
            <w:vAlign w:val="center"/>
          </w:tcPr>
          <w:p w14:paraId="60AAF678" w14:textId="4C0B9830" w:rsidR="006C1B19" w:rsidRPr="006C1B19" w:rsidRDefault="006C1B19"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6C1B19">
              <w:rPr>
                <w:rFonts w:cstheme="minorHAnsi"/>
              </w:rPr>
              <w:t>-</w:t>
            </w:r>
            <w:r w:rsidR="00D0131F">
              <w:rPr>
                <w:rFonts w:cstheme="minorHAnsi"/>
              </w:rPr>
              <w:t>2.</w:t>
            </w:r>
            <w:r w:rsidR="005A72D5">
              <w:rPr>
                <w:rFonts w:cstheme="minorHAnsi"/>
              </w:rPr>
              <w:t>8</w:t>
            </w:r>
            <w:r w:rsidRPr="006C1B19">
              <w:rPr>
                <w:rFonts w:cstheme="minorHAnsi"/>
              </w:rPr>
              <w:t>%</w:t>
            </w:r>
          </w:p>
        </w:tc>
        <w:tc>
          <w:tcPr>
            <w:tcW w:w="1194" w:type="dxa"/>
            <w:vAlign w:val="center"/>
          </w:tcPr>
          <w:p w14:paraId="19BE3B74" w14:textId="48552768" w:rsidR="006C1B19" w:rsidRPr="006C1B19" w:rsidRDefault="006C1B19" w:rsidP="006C1B1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6C1B19">
              <w:rPr>
                <w:rFonts w:cstheme="minorHAnsi"/>
              </w:rPr>
              <w:t>-1</w:t>
            </w:r>
            <w:r w:rsidR="005A72D5">
              <w:rPr>
                <w:rFonts w:cstheme="minorHAnsi"/>
              </w:rPr>
              <w:t>2.7</w:t>
            </w:r>
            <w:r w:rsidRPr="006C1B19">
              <w:rPr>
                <w:rFonts w:cstheme="minorHAnsi"/>
              </w:rPr>
              <w:t>%</w:t>
            </w:r>
          </w:p>
        </w:tc>
      </w:tr>
      <w:tr w:rsidR="006C1B19" w14:paraId="2EB720F3" w14:textId="77777777" w:rsidTr="006D1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6C1B19" w:rsidRPr="006C1B19" w:rsidRDefault="006C1B19" w:rsidP="006C1B19">
            <w:pPr>
              <w:pStyle w:val="NoSpacing"/>
              <w:rPr>
                <w:rFonts w:cstheme="minorHAnsi"/>
                <w:b w:val="0"/>
                <w:bCs w:val="0"/>
              </w:rPr>
            </w:pPr>
            <w:r w:rsidRPr="006C1B19">
              <w:rPr>
                <w:rFonts w:cstheme="minorHAnsi"/>
                <w:b w:val="0"/>
                <w:bCs w:val="0"/>
              </w:rPr>
              <w:t>Volume (pounds)</w:t>
            </w:r>
          </w:p>
        </w:tc>
        <w:tc>
          <w:tcPr>
            <w:tcW w:w="2163" w:type="dxa"/>
            <w:vAlign w:val="center"/>
          </w:tcPr>
          <w:p w14:paraId="68757A76" w14:textId="424C0503" w:rsidR="006C1B19" w:rsidRPr="006C1B19" w:rsidRDefault="005A72D5" w:rsidP="006C1B19">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26.9</w:t>
            </w:r>
            <w:r w:rsidR="00D0131F">
              <w:rPr>
                <w:rFonts w:cstheme="minorHAnsi"/>
              </w:rPr>
              <w:t>M</w:t>
            </w:r>
          </w:p>
        </w:tc>
        <w:tc>
          <w:tcPr>
            <w:tcW w:w="954" w:type="dxa"/>
            <w:vAlign w:val="center"/>
          </w:tcPr>
          <w:p w14:paraId="7DE7F9CC" w14:textId="2E32FF21"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5A72D5">
              <w:rPr>
                <w:rFonts w:cstheme="minorHAnsi"/>
              </w:rPr>
              <w:t>3.6</w:t>
            </w:r>
            <w:r w:rsidRPr="006C1B19">
              <w:rPr>
                <w:rFonts w:cstheme="minorHAnsi"/>
              </w:rPr>
              <w:t>%</w:t>
            </w:r>
          </w:p>
        </w:tc>
        <w:tc>
          <w:tcPr>
            <w:tcW w:w="971" w:type="dxa"/>
            <w:vAlign w:val="center"/>
          </w:tcPr>
          <w:p w14:paraId="47670DC1" w14:textId="41E1AEE3"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5A72D5">
              <w:rPr>
                <w:rFonts w:cstheme="minorHAnsi"/>
              </w:rPr>
              <w:t>10.0</w:t>
            </w:r>
            <w:r w:rsidRPr="006C1B19">
              <w:rPr>
                <w:rFonts w:cstheme="minorHAnsi"/>
              </w:rPr>
              <w:t>%</w:t>
            </w:r>
          </w:p>
        </w:tc>
        <w:tc>
          <w:tcPr>
            <w:tcW w:w="2074" w:type="dxa"/>
            <w:vAlign w:val="center"/>
          </w:tcPr>
          <w:p w14:paraId="57878EB0" w14:textId="3F07B640" w:rsidR="006C1B19" w:rsidRPr="006C1B19" w:rsidRDefault="00D0131F" w:rsidP="006C1B19">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5A72D5">
              <w:rPr>
                <w:rFonts w:cstheme="minorHAnsi"/>
              </w:rPr>
              <w:t>33.6</w:t>
            </w:r>
            <w:r>
              <w:rPr>
                <w:rFonts w:cstheme="minorHAnsi"/>
              </w:rPr>
              <w:t>M</w:t>
            </w:r>
          </w:p>
        </w:tc>
        <w:tc>
          <w:tcPr>
            <w:tcW w:w="1121" w:type="dxa"/>
            <w:vAlign w:val="center"/>
          </w:tcPr>
          <w:p w14:paraId="0679CD28" w14:textId="05A1A2AF"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5A72D5">
              <w:rPr>
                <w:rFonts w:cstheme="minorHAnsi"/>
              </w:rPr>
              <w:t>2.6</w:t>
            </w:r>
            <w:r w:rsidRPr="006C1B19">
              <w:rPr>
                <w:rFonts w:cstheme="minorHAnsi"/>
              </w:rPr>
              <w:t>%</w:t>
            </w:r>
          </w:p>
        </w:tc>
        <w:tc>
          <w:tcPr>
            <w:tcW w:w="1194" w:type="dxa"/>
            <w:vAlign w:val="center"/>
          </w:tcPr>
          <w:p w14:paraId="09C03B7F" w14:textId="5B4DED23" w:rsidR="006C1B19" w:rsidRPr="006C1B19" w:rsidRDefault="006C1B19" w:rsidP="006C1B1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6C1B19">
              <w:rPr>
                <w:rFonts w:cstheme="minorHAnsi"/>
              </w:rPr>
              <w:t>-</w:t>
            </w:r>
            <w:r w:rsidR="00D0131F">
              <w:rPr>
                <w:rFonts w:cstheme="minorHAnsi"/>
              </w:rPr>
              <w:t>12.</w:t>
            </w:r>
            <w:r w:rsidR="005A72D5">
              <w:rPr>
                <w:rFonts w:cstheme="minorHAnsi"/>
              </w:rPr>
              <w:t>3</w:t>
            </w:r>
            <w:r w:rsidRPr="006C1B19">
              <w:rPr>
                <w:rFonts w:cstheme="minorHAnsi"/>
              </w:rPr>
              <w:t>%</w:t>
            </w:r>
          </w:p>
        </w:tc>
      </w:tr>
    </w:tbl>
    <w:p w14:paraId="5B1F1AF6" w14:textId="72DF7907"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w:t>
      </w:r>
      <w:r w:rsidR="00FA0530">
        <w:rPr>
          <w:color w:val="7F7F7F" w:themeColor="text1" w:themeTint="80"/>
          <w:sz w:val="16"/>
          <w:szCs w:val="16"/>
        </w:rPr>
        <w:t>MULO+</w:t>
      </w:r>
      <w:r w:rsidRPr="00555250">
        <w:rPr>
          <w:color w:val="7F7F7F" w:themeColor="text1" w:themeTint="80"/>
          <w:sz w:val="16"/>
          <w:szCs w:val="16"/>
        </w:rPr>
        <w:t xml:space="preserve">,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5A72D5">
        <w:rPr>
          <w:color w:val="7F7F7F" w:themeColor="text1" w:themeTint="80"/>
          <w:sz w:val="16"/>
          <w:szCs w:val="16"/>
        </w:rPr>
        <w:t>12/29/2024</w:t>
      </w:r>
    </w:p>
    <w:p w14:paraId="709034BA" w14:textId="77777777" w:rsidR="0022081A" w:rsidRPr="005A72D5" w:rsidRDefault="0022081A" w:rsidP="00E25C6B">
      <w:pPr>
        <w:pStyle w:val="NoSpacing"/>
        <w:rPr>
          <w:sz w:val="20"/>
          <w:szCs w:val="20"/>
        </w:rPr>
      </w:pPr>
    </w:p>
    <w:p w14:paraId="01DB995D" w14:textId="5AA054CA" w:rsidR="0022081A" w:rsidRPr="00CC4137" w:rsidRDefault="0022081A" w:rsidP="0022081A">
      <w:pPr>
        <w:pStyle w:val="Heading2"/>
        <w:rPr>
          <w:b/>
          <w:bCs/>
          <w:color w:val="800000"/>
        </w:rPr>
      </w:pPr>
      <w:r w:rsidRPr="00CC4137">
        <w:rPr>
          <w:b/>
          <w:bCs/>
          <w:color w:val="800000"/>
        </w:rPr>
        <w:t>Performance by Type</w:t>
      </w:r>
    </w:p>
    <w:p w14:paraId="1EA6211B" w14:textId="023F583A" w:rsidR="00CC4137" w:rsidRDefault="00E25C6B" w:rsidP="001B68E6">
      <w:pPr>
        <w:pStyle w:val="NoSpacing"/>
      </w:pPr>
      <w:r>
        <w:t>In the MULO+ universe, white</w:t>
      </w:r>
      <w:r w:rsidR="00810052">
        <w:t xml:space="preserve"> mushrooms represented </w:t>
      </w:r>
      <w:r w:rsidR="005A72D5">
        <w:t>49.5</w:t>
      </w:r>
      <w:r w:rsidR="00E25816">
        <w:t>% of total mushroom dollars</w:t>
      </w:r>
      <w:r w:rsidR="005A72D5">
        <w:t xml:space="preserve">, which is elevated compared to typical weeks. This is driven by light consumers entering the category. Crimini mushrooms, which had been the better performer most of the year, struggled this particular quad week. </w:t>
      </w:r>
      <w:r w:rsidR="00E25816">
        <w:t xml:space="preserve"> </w:t>
      </w:r>
    </w:p>
    <w:p w14:paraId="18F23348" w14:textId="77777777" w:rsidR="00CC4137" w:rsidRDefault="00CC4137" w:rsidP="001B68E6">
      <w:pPr>
        <w:pStyle w:val="NoSpacing"/>
      </w:pPr>
    </w:p>
    <w:tbl>
      <w:tblPr>
        <w:tblStyle w:val="ListTable3-Accent3"/>
        <w:tblW w:w="10349" w:type="dxa"/>
        <w:tblLayout w:type="fixed"/>
        <w:tblLook w:val="0400" w:firstRow="0" w:lastRow="0" w:firstColumn="0" w:lastColumn="0" w:noHBand="0" w:noVBand="1"/>
      </w:tblPr>
      <w:tblGrid>
        <w:gridCol w:w="2448"/>
        <w:gridCol w:w="1168"/>
        <w:gridCol w:w="882"/>
        <w:gridCol w:w="991"/>
        <w:gridCol w:w="972"/>
        <w:gridCol w:w="1152"/>
        <w:gridCol w:w="864"/>
        <w:gridCol w:w="1008"/>
        <w:gridCol w:w="864"/>
      </w:tblGrid>
      <w:tr w:rsidR="00E25C6B" w:rsidRPr="00B25DFD" w14:paraId="06A52115" w14:textId="77777777" w:rsidTr="00D0131F">
        <w:trPr>
          <w:cnfStyle w:val="000000100000" w:firstRow="0" w:lastRow="0" w:firstColumn="0" w:lastColumn="0" w:oddVBand="0" w:evenVBand="0" w:oddHBand="1" w:evenHBand="0" w:firstRowFirstColumn="0" w:firstRowLastColumn="0" w:lastRowFirstColumn="0" w:lastRowLastColumn="0"/>
          <w:trHeight w:val="20"/>
        </w:trPr>
        <w:tc>
          <w:tcPr>
            <w:tcW w:w="2448" w:type="dxa"/>
            <w:shd w:val="clear" w:color="auto" w:fill="800000"/>
            <w:hideMark/>
          </w:tcPr>
          <w:p w14:paraId="60C8BF6E" w14:textId="77D72527" w:rsidR="00E25C6B" w:rsidRPr="00510C02" w:rsidRDefault="00E25C6B" w:rsidP="009718A1">
            <w:pPr>
              <w:pStyle w:val="NoSpacing"/>
              <w:rPr>
                <w:rFonts w:cstheme="minorHAnsi"/>
                <w:b/>
                <w:bCs/>
                <w:color w:val="FFFFFF" w:themeColor="background1"/>
              </w:rPr>
            </w:pPr>
            <w:bookmarkStart w:id="1" w:name="_Hlk97115006"/>
            <w:r w:rsidRPr="00510C02">
              <w:rPr>
                <w:rFonts w:cstheme="minorHAnsi"/>
                <w:b/>
                <w:bCs/>
                <w:color w:val="FFFFFF" w:themeColor="background1"/>
              </w:rPr>
              <w:t xml:space="preserve">4 weeks ending </w:t>
            </w:r>
            <w:r w:rsidR="005A72D5">
              <w:rPr>
                <w:rFonts w:cstheme="minorHAnsi"/>
                <w:b/>
                <w:bCs/>
                <w:color w:val="FFFFFF" w:themeColor="background1"/>
              </w:rPr>
              <w:t>12/29/2024</w:t>
            </w:r>
          </w:p>
        </w:tc>
        <w:tc>
          <w:tcPr>
            <w:tcW w:w="1168" w:type="dxa"/>
            <w:shd w:val="clear" w:color="auto" w:fill="800000"/>
            <w:hideMark/>
          </w:tcPr>
          <w:p w14:paraId="1064D99F"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Dollars</w:t>
            </w:r>
          </w:p>
        </w:tc>
        <w:tc>
          <w:tcPr>
            <w:tcW w:w="882" w:type="dxa"/>
            <w:shd w:val="clear" w:color="auto" w:fill="800000"/>
          </w:tcPr>
          <w:p w14:paraId="07FD6981"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Dollar share</w:t>
            </w:r>
          </w:p>
        </w:tc>
        <w:tc>
          <w:tcPr>
            <w:tcW w:w="991" w:type="dxa"/>
            <w:shd w:val="clear" w:color="auto" w:fill="800000"/>
            <w:hideMark/>
          </w:tcPr>
          <w:p w14:paraId="1FC52AF2"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sales vs. YA</w:t>
            </w:r>
          </w:p>
        </w:tc>
        <w:tc>
          <w:tcPr>
            <w:tcW w:w="972" w:type="dxa"/>
            <w:tcBorders>
              <w:right w:val="single" w:sz="4" w:space="0" w:color="auto"/>
            </w:tcBorders>
            <w:shd w:val="clear" w:color="auto" w:fill="800000"/>
            <w:hideMark/>
          </w:tcPr>
          <w:p w14:paraId="6A0D386A"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sales vs. 3YA</w:t>
            </w:r>
          </w:p>
        </w:tc>
        <w:tc>
          <w:tcPr>
            <w:tcW w:w="1152" w:type="dxa"/>
            <w:tcBorders>
              <w:left w:val="single" w:sz="4" w:space="0" w:color="auto"/>
            </w:tcBorders>
            <w:shd w:val="clear" w:color="auto" w:fill="800000"/>
          </w:tcPr>
          <w:p w14:paraId="183A24AF" w14:textId="77777777" w:rsidR="00E25C6B" w:rsidRPr="00510C02" w:rsidRDefault="00E25C6B" w:rsidP="005A72D5">
            <w:pPr>
              <w:pStyle w:val="NoSpacing"/>
              <w:jc w:val="right"/>
              <w:rPr>
                <w:rFonts w:cstheme="minorHAnsi"/>
                <w:b/>
                <w:bCs/>
                <w:color w:val="FFFFFF" w:themeColor="background1"/>
              </w:rPr>
            </w:pPr>
            <w:r w:rsidRPr="00510C02">
              <w:rPr>
                <w:rFonts w:cstheme="minorHAnsi"/>
                <w:b/>
                <w:bCs/>
                <w:color w:val="FFFFFF" w:themeColor="background1"/>
              </w:rPr>
              <w:t>Volume (lbs)</w:t>
            </w:r>
          </w:p>
        </w:tc>
        <w:tc>
          <w:tcPr>
            <w:tcW w:w="864" w:type="dxa"/>
            <w:shd w:val="clear" w:color="auto" w:fill="800000"/>
          </w:tcPr>
          <w:p w14:paraId="099E0FD1"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Lbs</w:t>
            </w:r>
          </w:p>
          <w:p w14:paraId="0FD167EC"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share</w:t>
            </w:r>
          </w:p>
        </w:tc>
        <w:tc>
          <w:tcPr>
            <w:tcW w:w="1008" w:type="dxa"/>
            <w:shd w:val="clear" w:color="auto" w:fill="800000"/>
          </w:tcPr>
          <w:p w14:paraId="6F8C758A"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xml:space="preserve">Lbs </w:t>
            </w:r>
            <w:r w:rsidRPr="00510C02">
              <w:rPr>
                <w:rFonts w:cstheme="minorHAnsi"/>
                <w:b/>
                <w:bCs/>
                <w:color w:val="FFFFFF" w:themeColor="background1"/>
              </w:rPr>
              <w:br/>
              <w:t>vs. YA</w:t>
            </w:r>
          </w:p>
        </w:tc>
        <w:tc>
          <w:tcPr>
            <w:tcW w:w="864" w:type="dxa"/>
            <w:shd w:val="clear" w:color="auto" w:fill="800000"/>
          </w:tcPr>
          <w:p w14:paraId="7A8620CC"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Lbs vs. 3YA</w:t>
            </w:r>
          </w:p>
        </w:tc>
      </w:tr>
      <w:tr w:rsidR="00D0131F" w:rsidRPr="00B25DFD" w14:paraId="6060B2B6" w14:textId="77777777" w:rsidTr="00D0131F">
        <w:trPr>
          <w:trHeight w:val="20"/>
        </w:trPr>
        <w:tc>
          <w:tcPr>
            <w:tcW w:w="2448" w:type="dxa"/>
            <w:hideMark/>
          </w:tcPr>
          <w:p w14:paraId="07F2D68F" w14:textId="77777777" w:rsidR="00D0131F" w:rsidRPr="00510C02" w:rsidRDefault="00D0131F" w:rsidP="00D0131F">
            <w:pPr>
              <w:rPr>
                <w:rFonts w:cstheme="minorHAnsi"/>
                <w:b/>
                <w:bCs/>
              </w:rPr>
            </w:pPr>
            <w:r w:rsidRPr="00510C02">
              <w:rPr>
                <w:rFonts w:eastAsia="Calibri" w:cstheme="minorHAnsi"/>
                <w:b/>
                <w:bCs/>
                <w:color w:val="000000" w:themeColor="text1"/>
                <w:kern w:val="24"/>
              </w:rPr>
              <w:t>Total fresh mushrooms</w:t>
            </w:r>
          </w:p>
        </w:tc>
        <w:tc>
          <w:tcPr>
            <w:tcW w:w="1168" w:type="dxa"/>
            <w:vAlign w:val="center"/>
            <w:hideMark/>
          </w:tcPr>
          <w:p w14:paraId="0A1DDAB5" w14:textId="7D6254AE" w:rsidR="00D0131F" w:rsidRPr="00D0131F" w:rsidRDefault="00D0131F" w:rsidP="00D0131F">
            <w:pPr>
              <w:pStyle w:val="NoSpacing"/>
              <w:jc w:val="right"/>
              <w:rPr>
                <w:rFonts w:cstheme="minorHAnsi"/>
                <w:b/>
                <w:bCs/>
                <w:sz w:val="20"/>
                <w:szCs w:val="20"/>
              </w:rPr>
            </w:pPr>
            <w:r w:rsidRPr="00D0131F">
              <w:rPr>
                <w:rFonts w:cstheme="minorHAnsi"/>
                <w:color w:val="000000"/>
                <w:kern w:val="24"/>
                <w:sz w:val="20"/>
                <w:szCs w:val="20"/>
              </w:rPr>
              <w:t>$</w:t>
            </w:r>
            <w:r w:rsidR="005A72D5">
              <w:rPr>
                <w:rFonts w:cstheme="minorHAnsi"/>
                <w:color w:val="000000"/>
                <w:kern w:val="24"/>
                <w:sz w:val="20"/>
                <w:szCs w:val="20"/>
              </w:rPr>
              <w:t>121.0</w:t>
            </w:r>
            <w:r w:rsidRPr="00D0131F">
              <w:rPr>
                <w:rFonts w:cstheme="minorHAnsi"/>
                <w:color w:val="000000"/>
                <w:kern w:val="24"/>
                <w:sz w:val="20"/>
                <w:szCs w:val="20"/>
              </w:rPr>
              <w:t>M</w:t>
            </w:r>
          </w:p>
        </w:tc>
        <w:tc>
          <w:tcPr>
            <w:tcW w:w="882" w:type="dxa"/>
            <w:vAlign w:val="center"/>
          </w:tcPr>
          <w:p w14:paraId="365C126B" w14:textId="174FDA51" w:rsidR="00D0131F" w:rsidRPr="00D0131F" w:rsidRDefault="00D0131F" w:rsidP="00D0131F">
            <w:pPr>
              <w:pStyle w:val="NoSpacing"/>
              <w:jc w:val="right"/>
              <w:rPr>
                <w:rFonts w:cstheme="minorHAnsi"/>
                <w:b/>
                <w:bCs/>
                <w:color w:val="000000" w:themeColor="text1"/>
                <w:sz w:val="20"/>
                <w:szCs w:val="20"/>
              </w:rPr>
            </w:pPr>
            <w:r w:rsidRPr="00D0131F">
              <w:rPr>
                <w:rFonts w:cstheme="minorHAnsi"/>
                <w:color w:val="000000"/>
                <w:kern w:val="24"/>
                <w:sz w:val="20"/>
                <w:szCs w:val="20"/>
              </w:rPr>
              <w:t>100.0%</w:t>
            </w:r>
          </w:p>
        </w:tc>
        <w:tc>
          <w:tcPr>
            <w:tcW w:w="991" w:type="dxa"/>
            <w:vAlign w:val="center"/>
            <w:hideMark/>
          </w:tcPr>
          <w:p w14:paraId="053B6359" w14:textId="3C8B6F4D" w:rsidR="00D0131F" w:rsidRPr="00D0131F" w:rsidRDefault="00D0131F" w:rsidP="00D0131F">
            <w:pPr>
              <w:pStyle w:val="NoSpacing"/>
              <w:jc w:val="right"/>
              <w:rPr>
                <w:rFonts w:cstheme="minorHAnsi"/>
                <w:b/>
                <w:bCs/>
                <w:sz w:val="20"/>
                <w:szCs w:val="20"/>
              </w:rPr>
            </w:pPr>
            <w:r w:rsidRPr="00D0131F">
              <w:rPr>
                <w:rFonts w:cstheme="minorHAnsi"/>
                <w:color w:val="000000"/>
                <w:kern w:val="24"/>
                <w:sz w:val="20"/>
                <w:szCs w:val="20"/>
              </w:rPr>
              <w:t>-</w:t>
            </w:r>
            <w:r w:rsidR="005A72D5">
              <w:rPr>
                <w:rFonts w:cstheme="minorHAnsi"/>
                <w:color w:val="000000"/>
                <w:kern w:val="24"/>
                <w:sz w:val="20"/>
                <w:szCs w:val="20"/>
              </w:rPr>
              <w:t>4.8</w:t>
            </w:r>
            <w:r w:rsidRPr="00D0131F">
              <w:rPr>
                <w:rFonts w:cstheme="minorHAnsi"/>
                <w:color w:val="000000"/>
                <w:kern w:val="24"/>
                <w:sz w:val="20"/>
                <w:szCs w:val="20"/>
              </w:rPr>
              <w:t>%</w:t>
            </w:r>
          </w:p>
        </w:tc>
        <w:tc>
          <w:tcPr>
            <w:tcW w:w="972" w:type="dxa"/>
            <w:tcBorders>
              <w:right w:val="single" w:sz="4" w:space="0" w:color="auto"/>
            </w:tcBorders>
            <w:vAlign w:val="center"/>
            <w:hideMark/>
          </w:tcPr>
          <w:p w14:paraId="525F03F4" w14:textId="3C9750B6" w:rsidR="00D0131F" w:rsidRPr="00D0131F" w:rsidRDefault="00D0131F" w:rsidP="00D0131F">
            <w:pPr>
              <w:pStyle w:val="NoSpacing"/>
              <w:jc w:val="right"/>
              <w:rPr>
                <w:rFonts w:cstheme="minorHAnsi"/>
                <w:b/>
                <w:bCs/>
                <w:sz w:val="20"/>
                <w:szCs w:val="20"/>
              </w:rPr>
            </w:pPr>
            <w:r w:rsidRPr="00D0131F">
              <w:rPr>
                <w:rFonts w:cstheme="minorHAnsi"/>
                <w:color w:val="000000"/>
                <w:kern w:val="24"/>
                <w:sz w:val="20"/>
                <w:szCs w:val="20"/>
              </w:rPr>
              <w:t>-</w:t>
            </w:r>
            <w:r w:rsidR="005A72D5">
              <w:rPr>
                <w:rFonts w:cstheme="minorHAnsi"/>
                <w:color w:val="000000"/>
                <w:kern w:val="24"/>
                <w:sz w:val="20"/>
                <w:szCs w:val="20"/>
              </w:rPr>
              <w:t>6.5</w:t>
            </w:r>
            <w:r w:rsidRPr="00D0131F">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22279171" w14:textId="030133B6" w:rsidR="00D0131F" w:rsidRPr="00D0131F" w:rsidRDefault="005A72D5" w:rsidP="005A72D5">
            <w:pPr>
              <w:pStyle w:val="NoSpacing"/>
              <w:jc w:val="right"/>
              <w:rPr>
                <w:rFonts w:cstheme="minorHAnsi"/>
                <w:b/>
                <w:bCs/>
                <w:sz w:val="20"/>
                <w:szCs w:val="20"/>
              </w:rPr>
            </w:pPr>
            <w:r>
              <w:rPr>
                <w:rFonts w:cstheme="minorHAnsi"/>
                <w:color w:val="000000"/>
                <w:kern w:val="24"/>
                <w:sz w:val="20"/>
                <w:szCs w:val="20"/>
              </w:rPr>
              <w:t>26.9</w:t>
            </w:r>
            <w:r w:rsidR="00D0131F" w:rsidRPr="00D0131F">
              <w:rPr>
                <w:rFonts w:cstheme="minorHAnsi"/>
                <w:color w:val="000000"/>
                <w:kern w:val="24"/>
                <w:sz w:val="20"/>
                <w:szCs w:val="20"/>
              </w:rPr>
              <w:t>M</w:t>
            </w:r>
          </w:p>
        </w:tc>
        <w:tc>
          <w:tcPr>
            <w:tcW w:w="864" w:type="dxa"/>
            <w:vAlign w:val="center"/>
          </w:tcPr>
          <w:p w14:paraId="630361CF" w14:textId="75B554B4" w:rsidR="00D0131F" w:rsidRPr="00D0131F" w:rsidRDefault="00D0131F" w:rsidP="00D0131F">
            <w:pPr>
              <w:pStyle w:val="NoSpacing"/>
              <w:jc w:val="right"/>
              <w:rPr>
                <w:rFonts w:cstheme="minorHAnsi"/>
                <w:b/>
                <w:bCs/>
                <w:color w:val="000000" w:themeColor="text1"/>
                <w:sz w:val="20"/>
                <w:szCs w:val="20"/>
              </w:rPr>
            </w:pPr>
            <w:r w:rsidRPr="00D0131F">
              <w:rPr>
                <w:rFonts w:cstheme="minorHAnsi"/>
                <w:color w:val="000000"/>
                <w:kern w:val="24"/>
                <w:sz w:val="20"/>
                <w:szCs w:val="20"/>
              </w:rPr>
              <w:t>100.0%</w:t>
            </w:r>
          </w:p>
        </w:tc>
        <w:tc>
          <w:tcPr>
            <w:tcW w:w="1008" w:type="dxa"/>
            <w:vAlign w:val="center"/>
          </w:tcPr>
          <w:p w14:paraId="13CC202A" w14:textId="57217DED" w:rsidR="00D0131F" w:rsidRPr="00D0131F" w:rsidRDefault="00D0131F" w:rsidP="00D0131F">
            <w:pPr>
              <w:pStyle w:val="NoSpacing"/>
              <w:jc w:val="right"/>
              <w:rPr>
                <w:rFonts w:cstheme="minorHAnsi"/>
                <w:b/>
                <w:bCs/>
                <w:sz w:val="20"/>
                <w:szCs w:val="20"/>
              </w:rPr>
            </w:pPr>
            <w:r w:rsidRPr="00D0131F">
              <w:rPr>
                <w:rFonts w:cstheme="minorHAnsi"/>
                <w:color w:val="000000"/>
                <w:kern w:val="24"/>
                <w:sz w:val="20"/>
                <w:szCs w:val="20"/>
              </w:rPr>
              <w:t>-</w:t>
            </w:r>
            <w:r w:rsidR="005A72D5">
              <w:rPr>
                <w:rFonts w:cstheme="minorHAnsi"/>
                <w:color w:val="000000"/>
                <w:kern w:val="24"/>
                <w:sz w:val="20"/>
                <w:szCs w:val="20"/>
              </w:rPr>
              <w:t>3.6</w:t>
            </w:r>
            <w:r w:rsidRPr="00D0131F">
              <w:rPr>
                <w:rFonts w:cstheme="minorHAnsi"/>
                <w:color w:val="000000"/>
                <w:kern w:val="24"/>
                <w:sz w:val="20"/>
                <w:szCs w:val="20"/>
              </w:rPr>
              <w:t>%</w:t>
            </w:r>
          </w:p>
        </w:tc>
        <w:tc>
          <w:tcPr>
            <w:tcW w:w="864" w:type="dxa"/>
            <w:vAlign w:val="center"/>
          </w:tcPr>
          <w:p w14:paraId="18FA9632" w14:textId="14B632F5" w:rsidR="00D0131F" w:rsidRPr="00D0131F" w:rsidRDefault="00D0131F" w:rsidP="00D0131F">
            <w:pPr>
              <w:pStyle w:val="NoSpacing"/>
              <w:jc w:val="right"/>
              <w:rPr>
                <w:rFonts w:cstheme="minorHAnsi"/>
                <w:b/>
                <w:bCs/>
                <w:sz w:val="20"/>
                <w:szCs w:val="20"/>
              </w:rPr>
            </w:pPr>
            <w:r w:rsidRPr="00D0131F">
              <w:rPr>
                <w:rFonts w:cstheme="minorHAnsi"/>
                <w:color w:val="000000"/>
                <w:kern w:val="24"/>
                <w:sz w:val="20"/>
                <w:szCs w:val="20"/>
              </w:rPr>
              <w:t>-</w:t>
            </w:r>
            <w:r w:rsidR="005A72D5">
              <w:rPr>
                <w:rFonts w:cstheme="minorHAnsi"/>
                <w:color w:val="000000"/>
                <w:kern w:val="24"/>
                <w:sz w:val="20"/>
                <w:szCs w:val="20"/>
              </w:rPr>
              <w:t>10.0</w:t>
            </w:r>
            <w:r w:rsidRPr="00D0131F">
              <w:rPr>
                <w:rFonts w:cstheme="minorHAnsi"/>
                <w:color w:val="000000"/>
                <w:kern w:val="24"/>
                <w:sz w:val="20"/>
                <w:szCs w:val="20"/>
              </w:rPr>
              <w:t>%</w:t>
            </w:r>
          </w:p>
        </w:tc>
      </w:tr>
      <w:tr w:rsidR="005A72D5" w:rsidRPr="00B25DFD" w14:paraId="145D73B9" w14:textId="77777777" w:rsidTr="00D0131F">
        <w:trPr>
          <w:cnfStyle w:val="000000100000" w:firstRow="0" w:lastRow="0" w:firstColumn="0" w:lastColumn="0" w:oddVBand="0" w:evenVBand="0" w:oddHBand="1" w:evenHBand="0" w:firstRowFirstColumn="0" w:firstRowLastColumn="0" w:lastRowFirstColumn="0" w:lastRowLastColumn="0"/>
          <w:trHeight w:val="20"/>
        </w:trPr>
        <w:tc>
          <w:tcPr>
            <w:tcW w:w="2448" w:type="dxa"/>
            <w:hideMark/>
          </w:tcPr>
          <w:p w14:paraId="78B4D2F2" w14:textId="77777777" w:rsidR="005A72D5" w:rsidRPr="00510C02" w:rsidRDefault="005A72D5" w:rsidP="005A72D5">
            <w:pPr>
              <w:rPr>
                <w:rFonts w:cstheme="minorHAnsi"/>
              </w:rPr>
            </w:pPr>
            <w:r w:rsidRPr="00510C02">
              <w:rPr>
                <w:rFonts w:eastAsia="Calibri" w:cstheme="minorHAnsi"/>
                <w:color w:val="000000" w:themeColor="text1"/>
                <w:kern w:val="24"/>
              </w:rPr>
              <w:t>White mushrooms</w:t>
            </w:r>
          </w:p>
        </w:tc>
        <w:tc>
          <w:tcPr>
            <w:tcW w:w="1168" w:type="dxa"/>
            <w:vAlign w:val="center"/>
            <w:hideMark/>
          </w:tcPr>
          <w:p w14:paraId="4C0D7E28" w14:textId="50AFA1FB"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59.9</w:t>
            </w:r>
            <w:r w:rsidRPr="00D0131F">
              <w:rPr>
                <w:rFonts w:cstheme="minorHAnsi"/>
                <w:color w:val="000000"/>
                <w:kern w:val="24"/>
                <w:sz w:val="20"/>
                <w:szCs w:val="20"/>
              </w:rPr>
              <w:t>M</w:t>
            </w:r>
          </w:p>
        </w:tc>
        <w:tc>
          <w:tcPr>
            <w:tcW w:w="882" w:type="dxa"/>
            <w:vAlign w:val="center"/>
          </w:tcPr>
          <w:p w14:paraId="3CADA244" w14:textId="23700B3B" w:rsidR="005A72D5" w:rsidRPr="00D0131F" w:rsidRDefault="005A72D5" w:rsidP="005A72D5">
            <w:pPr>
              <w:pStyle w:val="NoSpacing"/>
              <w:jc w:val="right"/>
              <w:rPr>
                <w:rFonts w:cstheme="minorHAnsi"/>
                <w:sz w:val="20"/>
                <w:szCs w:val="20"/>
              </w:rPr>
            </w:pPr>
            <w:r>
              <w:rPr>
                <w:rFonts w:cstheme="minorHAnsi"/>
                <w:color w:val="000000"/>
                <w:kern w:val="24"/>
                <w:sz w:val="20"/>
                <w:szCs w:val="20"/>
              </w:rPr>
              <w:t>49.5</w:t>
            </w:r>
            <w:r w:rsidRPr="00D0131F">
              <w:rPr>
                <w:rFonts w:cstheme="minorHAnsi"/>
                <w:color w:val="000000"/>
                <w:kern w:val="24"/>
                <w:sz w:val="20"/>
                <w:szCs w:val="20"/>
              </w:rPr>
              <w:t>%</w:t>
            </w:r>
          </w:p>
        </w:tc>
        <w:tc>
          <w:tcPr>
            <w:tcW w:w="991" w:type="dxa"/>
            <w:vAlign w:val="center"/>
            <w:hideMark/>
          </w:tcPr>
          <w:p w14:paraId="6C36ED75" w14:textId="1827191B"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5.0</w:t>
            </w:r>
            <w:r w:rsidRPr="00D0131F">
              <w:rPr>
                <w:rFonts w:cstheme="minorHAnsi"/>
                <w:color w:val="000000"/>
                <w:kern w:val="24"/>
                <w:sz w:val="20"/>
                <w:szCs w:val="20"/>
              </w:rPr>
              <w:t>%</w:t>
            </w:r>
          </w:p>
        </w:tc>
        <w:tc>
          <w:tcPr>
            <w:tcW w:w="972" w:type="dxa"/>
            <w:tcBorders>
              <w:right w:val="single" w:sz="4" w:space="0" w:color="auto"/>
            </w:tcBorders>
            <w:vAlign w:val="center"/>
            <w:hideMark/>
          </w:tcPr>
          <w:p w14:paraId="12408AC8" w14:textId="1DF509D6" w:rsidR="005A72D5" w:rsidRPr="00D0131F" w:rsidRDefault="005A72D5" w:rsidP="005A72D5">
            <w:pPr>
              <w:pStyle w:val="NoSpacing"/>
              <w:jc w:val="right"/>
              <w:rPr>
                <w:rFonts w:cstheme="minorHAnsi"/>
                <w:sz w:val="20"/>
                <w:szCs w:val="20"/>
              </w:rPr>
            </w:pPr>
            <w:r>
              <w:rPr>
                <w:rFonts w:cstheme="minorHAnsi"/>
                <w:color w:val="000000"/>
                <w:kern w:val="24"/>
                <w:sz w:val="20"/>
                <w:szCs w:val="20"/>
              </w:rPr>
              <w:t>-10.5</w:t>
            </w:r>
            <w:r w:rsidRPr="00D0131F">
              <w:rPr>
                <w:rFonts w:cstheme="minorHAnsi"/>
                <w:color w:val="000000"/>
                <w:kern w:val="24"/>
                <w:sz w:val="20"/>
                <w:szCs w:val="20"/>
              </w:rPr>
              <w:t>%</w:t>
            </w:r>
          </w:p>
        </w:tc>
        <w:tc>
          <w:tcPr>
            <w:tcW w:w="1152" w:type="dxa"/>
            <w:tcBorders>
              <w:left w:val="single" w:sz="4" w:space="0" w:color="auto"/>
            </w:tcBorders>
            <w:vAlign w:val="center"/>
          </w:tcPr>
          <w:p w14:paraId="5118D613" w14:textId="2BD755A2" w:rsidR="005A72D5" w:rsidRPr="00D0131F" w:rsidRDefault="005A72D5" w:rsidP="005A72D5">
            <w:pPr>
              <w:pStyle w:val="NoSpacing"/>
              <w:jc w:val="right"/>
              <w:rPr>
                <w:rFonts w:cstheme="minorHAnsi"/>
                <w:sz w:val="20"/>
                <w:szCs w:val="20"/>
              </w:rPr>
            </w:pPr>
            <w:r>
              <w:rPr>
                <w:rFonts w:cstheme="minorHAnsi"/>
                <w:color w:val="000000"/>
                <w:kern w:val="24"/>
                <w:sz w:val="20"/>
                <w:szCs w:val="20"/>
              </w:rPr>
              <w:t>15.1</w:t>
            </w:r>
            <w:r w:rsidRPr="00D0131F">
              <w:rPr>
                <w:rFonts w:cstheme="minorHAnsi"/>
                <w:color w:val="000000"/>
                <w:kern w:val="24"/>
                <w:sz w:val="20"/>
                <w:szCs w:val="20"/>
              </w:rPr>
              <w:t>M</w:t>
            </w:r>
          </w:p>
        </w:tc>
        <w:tc>
          <w:tcPr>
            <w:tcW w:w="864" w:type="dxa"/>
            <w:vAlign w:val="center"/>
          </w:tcPr>
          <w:p w14:paraId="40D97251" w14:textId="02172DD0" w:rsidR="005A72D5" w:rsidRPr="00D0131F" w:rsidRDefault="005A72D5" w:rsidP="005A72D5">
            <w:pPr>
              <w:pStyle w:val="NoSpacing"/>
              <w:tabs>
                <w:tab w:val="left" w:pos="510"/>
                <w:tab w:val="right" w:pos="674"/>
              </w:tabs>
              <w:jc w:val="right"/>
              <w:rPr>
                <w:rFonts w:cstheme="minorHAnsi"/>
                <w:sz w:val="20"/>
                <w:szCs w:val="20"/>
              </w:rPr>
            </w:pPr>
            <w:r>
              <w:rPr>
                <w:rFonts w:cstheme="minorHAnsi"/>
                <w:color w:val="000000"/>
                <w:kern w:val="24"/>
                <w:sz w:val="20"/>
                <w:szCs w:val="20"/>
              </w:rPr>
              <w:t>56.1</w:t>
            </w:r>
            <w:r w:rsidRPr="00D0131F">
              <w:rPr>
                <w:rFonts w:cstheme="minorHAnsi"/>
                <w:color w:val="000000"/>
                <w:kern w:val="24"/>
                <w:sz w:val="20"/>
                <w:szCs w:val="20"/>
              </w:rPr>
              <w:t>%</w:t>
            </w:r>
          </w:p>
        </w:tc>
        <w:tc>
          <w:tcPr>
            <w:tcW w:w="1008" w:type="dxa"/>
            <w:vAlign w:val="center"/>
          </w:tcPr>
          <w:p w14:paraId="710357FA" w14:textId="608519A2"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3.5</w:t>
            </w:r>
            <w:r w:rsidRPr="00D0131F">
              <w:rPr>
                <w:rFonts w:cstheme="minorHAnsi"/>
                <w:color w:val="000000"/>
                <w:kern w:val="24"/>
                <w:sz w:val="20"/>
                <w:szCs w:val="20"/>
              </w:rPr>
              <w:t>%</w:t>
            </w:r>
          </w:p>
        </w:tc>
        <w:tc>
          <w:tcPr>
            <w:tcW w:w="864" w:type="dxa"/>
            <w:vAlign w:val="center"/>
          </w:tcPr>
          <w:p w14:paraId="285307C2" w14:textId="6CE1D8D2"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13.6</w:t>
            </w:r>
            <w:r w:rsidRPr="00D0131F">
              <w:rPr>
                <w:rFonts w:cstheme="minorHAnsi"/>
                <w:color w:val="000000"/>
                <w:kern w:val="24"/>
                <w:sz w:val="20"/>
                <w:szCs w:val="20"/>
              </w:rPr>
              <w:t>%</w:t>
            </w:r>
          </w:p>
        </w:tc>
      </w:tr>
      <w:tr w:rsidR="005A72D5" w:rsidRPr="00B25DFD" w14:paraId="716CD0FE" w14:textId="77777777" w:rsidTr="00D0131F">
        <w:trPr>
          <w:trHeight w:val="20"/>
        </w:trPr>
        <w:tc>
          <w:tcPr>
            <w:tcW w:w="2448" w:type="dxa"/>
          </w:tcPr>
          <w:p w14:paraId="0FA3EA16" w14:textId="7BE5ADF4" w:rsidR="005A72D5" w:rsidRDefault="005A72D5" w:rsidP="005A72D5">
            <w:pPr>
              <w:rPr>
                <w:rFonts w:eastAsia="Calibri" w:cstheme="minorHAnsi"/>
                <w:color w:val="000000" w:themeColor="text1"/>
                <w:kern w:val="24"/>
              </w:rPr>
            </w:pPr>
            <w:r>
              <w:rPr>
                <w:rFonts w:eastAsia="Calibri" w:cstheme="minorHAnsi"/>
                <w:color w:val="000000" w:themeColor="text1"/>
                <w:kern w:val="24"/>
              </w:rPr>
              <w:t>Crimini mushrooms</w:t>
            </w:r>
          </w:p>
        </w:tc>
        <w:tc>
          <w:tcPr>
            <w:tcW w:w="1168" w:type="dxa"/>
            <w:vAlign w:val="center"/>
          </w:tcPr>
          <w:p w14:paraId="1E580BCF" w14:textId="29F8D47A"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43.2</w:t>
            </w:r>
            <w:r w:rsidRPr="00D0131F">
              <w:rPr>
                <w:rFonts w:cstheme="minorHAnsi"/>
                <w:color w:val="000000"/>
                <w:kern w:val="24"/>
                <w:sz w:val="20"/>
                <w:szCs w:val="20"/>
              </w:rPr>
              <w:t>M</w:t>
            </w:r>
          </w:p>
        </w:tc>
        <w:tc>
          <w:tcPr>
            <w:tcW w:w="882" w:type="dxa"/>
            <w:vAlign w:val="center"/>
          </w:tcPr>
          <w:p w14:paraId="32C9D86B" w14:textId="69F065EE" w:rsidR="005A72D5" w:rsidRPr="00D0131F" w:rsidRDefault="005A72D5" w:rsidP="005A72D5">
            <w:pPr>
              <w:pStyle w:val="NoSpacing"/>
              <w:jc w:val="right"/>
              <w:rPr>
                <w:rFonts w:cstheme="minorHAnsi"/>
                <w:color w:val="000000"/>
                <w:sz w:val="20"/>
                <w:szCs w:val="20"/>
              </w:rPr>
            </w:pPr>
            <w:r>
              <w:rPr>
                <w:rFonts w:cstheme="minorHAnsi"/>
                <w:color w:val="000000"/>
                <w:kern w:val="24"/>
                <w:sz w:val="20"/>
                <w:szCs w:val="20"/>
              </w:rPr>
              <w:t>35.7</w:t>
            </w:r>
            <w:r w:rsidRPr="00D0131F">
              <w:rPr>
                <w:rFonts w:cstheme="minorHAnsi"/>
                <w:color w:val="000000"/>
                <w:kern w:val="24"/>
                <w:sz w:val="20"/>
                <w:szCs w:val="20"/>
              </w:rPr>
              <w:t>%</w:t>
            </w:r>
          </w:p>
        </w:tc>
        <w:tc>
          <w:tcPr>
            <w:tcW w:w="991" w:type="dxa"/>
            <w:vAlign w:val="center"/>
          </w:tcPr>
          <w:p w14:paraId="04806102" w14:textId="57ADC147"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5.6</w:t>
            </w:r>
            <w:r w:rsidRPr="00D0131F">
              <w:rPr>
                <w:rFonts w:cstheme="minorHAnsi"/>
                <w:color w:val="000000"/>
                <w:kern w:val="24"/>
                <w:sz w:val="20"/>
                <w:szCs w:val="20"/>
              </w:rPr>
              <w:t>%</w:t>
            </w:r>
          </w:p>
        </w:tc>
        <w:tc>
          <w:tcPr>
            <w:tcW w:w="972" w:type="dxa"/>
            <w:tcBorders>
              <w:right w:val="single" w:sz="4" w:space="0" w:color="auto"/>
            </w:tcBorders>
            <w:vAlign w:val="center"/>
          </w:tcPr>
          <w:p w14:paraId="4C163EED" w14:textId="637D5489" w:rsidR="005A72D5" w:rsidRPr="00D0131F" w:rsidRDefault="005A72D5" w:rsidP="005A72D5">
            <w:pPr>
              <w:pStyle w:val="NoSpacing"/>
              <w:jc w:val="right"/>
              <w:rPr>
                <w:rFonts w:cstheme="minorHAnsi"/>
                <w:sz w:val="20"/>
                <w:szCs w:val="20"/>
              </w:rPr>
            </w:pPr>
            <w:r>
              <w:rPr>
                <w:rFonts w:cstheme="minorHAnsi"/>
                <w:color w:val="000000"/>
                <w:kern w:val="24"/>
                <w:sz w:val="20"/>
                <w:szCs w:val="20"/>
              </w:rPr>
              <w:t>+1.1</w:t>
            </w:r>
            <w:r w:rsidRPr="00D0131F">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0C78E297" w14:textId="4C52903E" w:rsidR="005A72D5" w:rsidRPr="00D0131F" w:rsidRDefault="005A72D5" w:rsidP="005A72D5">
            <w:pPr>
              <w:pStyle w:val="NoSpacing"/>
              <w:jc w:val="right"/>
              <w:rPr>
                <w:rFonts w:cstheme="minorHAnsi"/>
                <w:sz w:val="20"/>
                <w:szCs w:val="20"/>
              </w:rPr>
            </w:pPr>
            <w:r>
              <w:rPr>
                <w:rFonts w:cstheme="minorHAnsi"/>
                <w:color w:val="000000"/>
                <w:kern w:val="24"/>
                <w:sz w:val="20"/>
                <w:szCs w:val="20"/>
              </w:rPr>
              <w:t>9.5</w:t>
            </w:r>
            <w:r w:rsidRPr="00D0131F">
              <w:rPr>
                <w:rFonts w:cstheme="minorHAnsi"/>
                <w:color w:val="000000"/>
                <w:kern w:val="24"/>
                <w:sz w:val="20"/>
                <w:szCs w:val="20"/>
              </w:rPr>
              <w:t>M</w:t>
            </w:r>
          </w:p>
        </w:tc>
        <w:tc>
          <w:tcPr>
            <w:tcW w:w="864" w:type="dxa"/>
            <w:vAlign w:val="center"/>
          </w:tcPr>
          <w:p w14:paraId="14998231" w14:textId="5BD4C89B" w:rsidR="005A72D5" w:rsidRPr="00D0131F" w:rsidRDefault="005A72D5" w:rsidP="005A72D5">
            <w:pPr>
              <w:pStyle w:val="NoSpacing"/>
              <w:jc w:val="right"/>
              <w:rPr>
                <w:rFonts w:cstheme="minorHAnsi"/>
                <w:color w:val="000000"/>
                <w:sz w:val="20"/>
                <w:szCs w:val="20"/>
              </w:rPr>
            </w:pPr>
            <w:r>
              <w:rPr>
                <w:rFonts w:cstheme="minorHAnsi"/>
                <w:color w:val="000000"/>
                <w:kern w:val="24"/>
                <w:sz w:val="20"/>
                <w:szCs w:val="20"/>
              </w:rPr>
              <w:t>35.3</w:t>
            </w:r>
            <w:r w:rsidRPr="00D0131F">
              <w:rPr>
                <w:rFonts w:cstheme="minorHAnsi"/>
                <w:color w:val="000000"/>
                <w:kern w:val="24"/>
                <w:sz w:val="20"/>
                <w:szCs w:val="20"/>
              </w:rPr>
              <w:t>%</w:t>
            </w:r>
          </w:p>
        </w:tc>
        <w:tc>
          <w:tcPr>
            <w:tcW w:w="1008" w:type="dxa"/>
            <w:vAlign w:val="center"/>
          </w:tcPr>
          <w:p w14:paraId="60244247" w14:textId="212BE723" w:rsidR="005A72D5" w:rsidRPr="00D0131F" w:rsidRDefault="005A72D5" w:rsidP="005A72D5">
            <w:pPr>
              <w:pStyle w:val="NoSpacing"/>
              <w:jc w:val="right"/>
              <w:rPr>
                <w:rFonts w:cstheme="minorHAnsi"/>
                <w:sz w:val="20"/>
                <w:szCs w:val="20"/>
              </w:rPr>
            </w:pPr>
            <w:r>
              <w:rPr>
                <w:rFonts w:cstheme="minorHAnsi"/>
                <w:color w:val="000000"/>
                <w:kern w:val="24"/>
                <w:sz w:val="20"/>
                <w:szCs w:val="20"/>
              </w:rPr>
              <w:t>-4.8</w:t>
            </w:r>
            <w:r w:rsidRPr="00D0131F">
              <w:rPr>
                <w:rFonts w:cstheme="minorHAnsi"/>
                <w:color w:val="000000"/>
                <w:kern w:val="24"/>
                <w:sz w:val="20"/>
                <w:szCs w:val="20"/>
              </w:rPr>
              <w:t>%</w:t>
            </w:r>
          </w:p>
        </w:tc>
        <w:tc>
          <w:tcPr>
            <w:tcW w:w="864" w:type="dxa"/>
            <w:vAlign w:val="center"/>
          </w:tcPr>
          <w:p w14:paraId="6A0F8BA3" w14:textId="50C66F9B"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2.4</w:t>
            </w:r>
            <w:r w:rsidRPr="00D0131F">
              <w:rPr>
                <w:rFonts w:cstheme="minorHAnsi"/>
                <w:color w:val="000000"/>
                <w:kern w:val="24"/>
                <w:sz w:val="20"/>
                <w:szCs w:val="20"/>
              </w:rPr>
              <w:t>%</w:t>
            </w:r>
          </w:p>
        </w:tc>
      </w:tr>
      <w:tr w:rsidR="005A72D5" w:rsidRPr="00B25DFD" w14:paraId="57FEBDF7" w14:textId="77777777" w:rsidTr="00D0131F">
        <w:trPr>
          <w:cnfStyle w:val="000000100000" w:firstRow="0" w:lastRow="0" w:firstColumn="0" w:lastColumn="0" w:oddVBand="0" w:evenVBand="0" w:oddHBand="1" w:evenHBand="0" w:firstRowFirstColumn="0" w:firstRowLastColumn="0" w:lastRowFirstColumn="0" w:lastRowLastColumn="0"/>
          <w:trHeight w:val="20"/>
        </w:trPr>
        <w:tc>
          <w:tcPr>
            <w:tcW w:w="2448" w:type="dxa"/>
            <w:hideMark/>
          </w:tcPr>
          <w:p w14:paraId="602D364E" w14:textId="3DDD20F1" w:rsidR="005A72D5" w:rsidRPr="00510C02" w:rsidRDefault="005A72D5" w:rsidP="005A72D5">
            <w:pPr>
              <w:rPr>
                <w:rFonts w:cstheme="minorHAnsi"/>
              </w:rPr>
            </w:pPr>
            <w:r>
              <w:rPr>
                <w:rFonts w:eastAsia="Calibri" w:cstheme="minorHAnsi"/>
                <w:color w:val="000000" w:themeColor="text1"/>
                <w:kern w:val="24"/>
              </w:rPr>
              <w:t xml:space="preserve">Portabella </w:t>
            </w:r>
            <w:r w:rsidRPr="00510C02">
              <w:rPr>
                <w:rFonts w:eastAsia="Calibri" w:cstheme="minorHAnsi"/>
                <w:color w:val="000000" w:themeColor="text1"/>
                <w:kern w:val="24"/>
              </w:rPr>
              <w:t>mushrooms</w:t>
            </w:r>
          </w:p>
        </w:tc>
        <w:tc>
          <w:tcPr>
            <w:tcW w:w="1168" w:type="dxa"/>
            <w:vAlign w:val="center"/>
          </w:tcPr>
          <w:p w14:paraId="41892DB8" w14:textId="4FA4E41C"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8.5</w:t>
            </w:r>
            <w:r w:rsidRPr="00D0131F">
              <w:rPr>
                <w:rFonts w:cstheme="minorHAnsi"/>
                <w:color w:val="000000"/>
                <w:kern w:val="24"/>
                <w:sz w:val="20"/>
                <w:szCs w:val="20"/>
              </w:rPr>
              <w:t>M</w:t>
            </w:r>
          </w:p>
        </w:tc>
        <w:tc>
          <w:tcPr>
            <w:tcW w:w="882" w:type="dxa"/>
            <w:vAlign w:val="center"/>
          </w:tcPr>
          <w:p w14:paraId="46ABCE73" w14:textId="09316EF5" w:rsidR="005A72D5" w:rsidRPr="00D0131F" w:rsidRDefault="005A72D5" w:rsidP="005A72D5">
            <w:pPr>
              <w:pStyle w:val="NoSpacing"/>
              <w:jc w:val="right"/>
              <w:rPr>
                <w:rFonts w:cstheme="minorHAnsi"/>
                <w:sz w:val="20"/>
                <w:szCs w:val="20"/>
              </w:rPr>
            </w:pPr>
            <w:r>
              <w:rPr>
                <w:rFonts w:cstheme="minorHAnsi"/>
                <w:color w:val="000000"/>
                <w:kern w:val="24"/>
                <w:sz w:val="20"/>
                <w:szCs w:val="20"/>
              </w:rPr>
              <w:t>7.0</w:t>
            </w:r>
            <w:r w:rsidRPr="00D0131F">
              <w:rPr>
                <w:rFonts w:cstheme="minorHAnsi"/>
                <w:color w:val="000000"/>
                <w:kern w:val="24"/>
                <w:sz w:val="20"/>
                <w:szCs w:val="20"/>
              </w:rPr>
              <w:t>%</w:t>
            </w:r>
          </w:p>
        </w:tc>
        <w:tc>
          <w:tcPr>
            <w:tcW w:w="991" w:type="dxa"/>
            <w:vAlign w:val="center"/>
          </w:tcPr>
          <w:p w14:paraId="481BED1D" w14:textId="7F184F57"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1.9</w:t>
            </w:r>
            <w:r w:rsidRPr="00D0131F">
              <w:rPr>
                <w:rFonts w:cstheme="minorHAnsi"/>
                <w:color w:val="000000"/>
                <w:kern w:val="24"/>
                <w:sz w:val="20"/>
                <w:szCs w:val="20"/>
              </w:rPr>
              <w:t>%</w:t>
            </w:r>
          </w:p>
        </w:tc>
        <w:tc>
          <w:tcPr>
            <w:tcW w:w="972" w:type="dxa"/>
            <w:tcBorders>
              <w:right w:val="single" w:sz="4" w:space="0" w:color="auto"/>
            </w:tcBorders>
            <w:vAlign w:val="center"/>
          </w:tcPr>
          <w:p w14:paraId="72645B7B" w14:textId="14C2E996"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26.9</w:t>
            </w:r>
            <w:r w:rsidRPr="00D0131F">
              <w:rPr>
                <w:rFonts w:cstheme="minorHAnsi"/>
                <w:color w:val="000000"/>
                <w:kern w:val="24"/>
                <w:sz w:val="20"/>
                <w:szCs w:val="20"/>
              </w:rPr>
              <w:t>%</w:t>
            </w:r>
          </w:p>
        </w:tc>
        <w:tc>
          <w:tcPr>
            <w:tcW w:w="1152" w:type="dxa"/>
            <w:tcBorders>
              <w:left w:val="single" w:sz="4" w:space="0" w:color="auto"/>
            </w:tcBorders>
            <w:vAlign w:val="center"/>
          </w:tcPr>
          <w:p w14:paraId="0F1677BF" w14:textId="3315D9E1" w:rsidR="005A72D5" w:rsidRPr="00D0131F" w:rsidRDefault="005A72D5" w:rsidP="005A72D5">
            <w:pPr>
              <w:pStyle w:val="NoSpacing"/>
              <w:jc w:val="right"/>
              <w:rPr>
                <w:rFonts w:cstheme="minorHAnsi"/>
                <w:sz w:val="20"/>
                <w:szCs w:val="20"/>
              </w:rPr>
            </w:pPr>
            <w:r>
              <w:rPr>
                <w:rFonts w:cstheme="minorHAnsi"/>
                <w:color w:val="000000"/>
                <w:kern w:val="24"/>
                <w:sz w:val="20"/>
                <w:szCs w:val="20"/>
              </w:rPr>
              <w:t>1.7</w:t>
            </w:r>
            <w:r w:rsidRPr="00D0131F">
              <w:rPr>
                <w:rFonts w:cstheme="minorHAnsi"/>
                <w:color w:val="000000"/>
                <w:kern w:val="24"/>
                <w:sz w:val="20"/>
                <w:szCs w:val="20"/>
              </w:rPr>
              <w:t>M</w:t>
            </w:r>
          </w:p>
        </w:tc>
        <w:tc>
          <w:tcPr>
            <w:tcW w:w="864" w:type="dxa"/>
            <w:vAlign w:val="center"/>
          </w:tcPr>
          <w:p w14:paraId="6BFC89D0" w14:textId="73028C79" w:rsidR="005A72D5" w:rsidRPr="00D0131F" w:rsidRDefault="005A72D5" w:rsidP="005A72D5">
            <w:pPr>
              <w:pStyle w:val="NoSpacing"/>
              <w:jc w:val="right"/>
              <w:rPr>
                <w:rFonts w:cstheme="minorHAnsi"/>
                <w:sz w:val="20"/>
                <w:szCs w:val="20"/>
              </w:rPr>
            </w:pPr>
            <w:r>
              <w:rPr>
                <w:rFonts w:cstheme="minorHAnsi"/>
                <w:color w:val="000000"/>
                <w:kern w:val="24"/>
                <w:sz w:val="20"/>
                <w:szCs w:val="20"/>
              </w:rPr>
              <w:t>6.2</w:t>
            </w:r>
            <w:r w:rsidRPr="00D0131F">
              <w:rPr>
                <w:rFonts w:cstheme="minorHAnsi"/>
                <w:color w:val="000000"/>
                <w:kern w:val="24"/>
                <w:sz w:val="20"/>
                <w:szCs w:val="20"/>
              </w:rPr>
              <w:t>%</w:t>
            </w:r>
          </w:p>
        </w:tc>
        <w:tc>
          <w:tcPr>
            <w:tcW w:w="1008" w:type="dxa"/>
            <w:vAlign w:val="center"/>
          </w:tcPr>
          <w:p w14:paraId="523FEFF1" w14:textId="6DA74D6E" w:rsidR="005A72D5" w:rsidRPr="00D0131F" w:rsidRDefault="005A72D5" w:rsidP="005A72D5">
            <w:pPr>
              <w:pStyle w:val="NoSpacing"/>
              <w:jc w:val="right"/>
              <w:rPr>
                <w:rFonts w:cstheme="minorHAnsi"/>
                <w:sz w:val="20"/>
                <w:szCs w:val="20"/>
              </w:rPr>
            </w:pPr>
            <w:r>
              <w:rPr>
                <w:rFonts w:cstheme="minorHAnsi"/>
                <w:color w:val="000000"/>
                <w:kern w:val="24"/>
                <w:sz w:val="20"/>
                <w:szCs w:val="20"/>
              </w:rPr>
              <w:t>+3.1</w:t>
            </w:r>
            <w:r w:rsidRPr="00D0131F">
              <w:rPr>
                <w:rFonts w:cstheme="minorHAnsi"/>
                <w:color w:val="000000"/>
                <w:kern w:val="24"/>
                <w:sz w:val="20"/>
                <w:szCs w:val="20"/>
              </w:rPr>
              <w:t>%</w:t>
            </w:r>
          </w:p>
        </w:tc>
        <w:tc>
          <w:tcPr>
            <w:tcW w:w="864" w:type="dxa"/>
            <w:vAlign w:val="center"/>
          </w:tcPr>
          <w:p w14:paraId="79E4C24B" w14:textId="0C69AE89"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21.5</w:t>
            </w:r>
            <w:r w:rsidRPr="00D0131F">
              <w:rPr>
                <w:rFonts w:cstheme="minorHAnsi"/>
                <w:color w:val="000000"/>
                <w:kern w:val="24"/>
                <w:sz w:val="20"/>
                <w:szCs w:val="20"/>
              </w:rPr>
              <w:t>%</w:t>
            </w:r>
          </w:p>
        </w:tc>
      </w:tr>
      <w:tr w:rsidR="005A72D5" w:rsidRPr="00B25DFD" w14:paraId="7E4A2AE4" w14:textId="77777777" w:rsidTr="00D0131F">
        <w:trPr>
          <w:trHeight w:val="20"/>
        </w:trPr>
        <w:tc>
          <w:tcPr>
            <w:tcW w:w="2448" w:type="dxa"/>
            <w:hideMark/>
          </w:tcPr>
          <w:p w14:paraId="62CA9D59" w14:textId="77777777" w:rsidR="005A72D5" w:rsidRPr="00510C02" w:rsidRDefault="005A72D5" w:rsidP="005A72D5">
            <w:pPr>
              <w:rPr>
                <w:rFonts w:cstheme="minorHAnsi"/>
              </w:rPr>
            </w:pPr>
            <w:r w:rsidRPr="00510C02">
              <w:rPr>
                <w:rFonts w:eastAsia="Calibri" w:cstheme="minorHAnsi"/>
                <w:color w:val="000000" w:themeColor="text1"/>
                <w:kern w:val="24"/>
              </w:rPr>
              <w:t>Specialty mushrooms</w:t>
            </w:r>
          </w:p>
        </w:tc>
        <w:tc>
          <w:tcPr>
            <w:tcW w:w="1168" w:type="dxa"/>
            <w:vAlign w:val="center"/>
            <w:hideMark/>
          </w:tcPr>
          <w:p w14:paraId="12033966" w14:textId="428AFD7F"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8.0</w:t>
            </w:r>
            <w:r w:rsidRPr="00D0131F">
              <w:rPr>
                <w:rFonts w:cstheme="minorHAnsi"/>
                <w:color w:val="000000"/>
                <w:kern w:val="24"/>
                <w:sz w:val="20"/>
                <w:szCs w:val="20"/>
              </w:rPr>
              <w:t>M</w:t>
            </w:r>
          </w:p>
        </w:tc>
        <w:tc>
          <w:tcPr>
            <w:tcW w:w="882" w:type="dxa"/>
            <w:vAlign w:val="center"/>
          </w:tcPr>
          <w:p w14:paraId="20BDBE45" w14:textId="0B849574" w:rsidR="005A72D5" w:rsidRPr="00D0131F" w:rsidRDefault="005A72D5" w:rsidP="005A72D5">
            <w:pPr>
              <w:pStyle w:val="NoSpacing"/>
              <w:jc w:val="right"/>
              <w:rPr>
                <w:rFonts w:cstheme="minorHAnsi"/>
                <w:sz w:val="20"/>
                <w:szCs w:val="20"/>
              </w:rPr>
            </w:pPr>
            <w:r>
              <w:rPr>
                <w:rFonts w:cstheme="minorHAnsi"/>
                <w:color w:val="000000"/>
                <w:kern w:val="24"/>
                <w:sz w:val="20"/>
                <w:szCs w:val="20"/>
              </w:rPr>
              <w:t>6.7</w:t>
            </w:r>
            <w:r w:rsidRPr="00D0131F">
              <w:rPr>
                <w:rFonts w:cstheme="minorHAnsi"/>
                <w:color w:val="000000"/>
                <w:kern w:val="24"/>
                <w:sz w:val="20"/>
                <w:szCs w:val="20"/>
              </w:rPr>
              <w:t>%</w:t>
            </w:r>
          </w:p>
        </w:tc>
        <w:tc>
          <w:tcPr>
            <w:tcW w:w="991" w:type="dxa"/>
            <w:vAlign w:val="center"/>
            <w:hideMark/>
          </w:tcPr>
          <w:p w14:paraId="2A392A18" w14:textId="00D989D4"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1.0</w:t>
            </w:r>
            <w:r w:rsidRPr="00D0131F">
              <w:rPr>
                <w:rFonts w:cstheme="minorHAnsi"/>
                <w:color w:val="000000"/>
                <w:kern w:val="24"/>
                <w:sz w:val="20"/>
                <w:szCs w:val="20"/>
              </w:rPr>
              <w:t>%</w:t>
            </w:r>
          </w:p>
        </w:tc>
        <w:tc>
          <w:tcPr>
            <w:tcW w:w="972" w:type="dxa"/>
            <w:tcBorders>
              <w:right w:val="single" w:sz="4" w:space="0" w:color="auto"/>
            </w:tcBorders>
            <w:vAlign w:val="center"/>
            <w:hideMark/>
          </w:tcPr>
          <w:p w14:paraId="6E10AA11" w14:textId="2EE9DB79" w:rsidR="005A72D5" w:rsidRPr="00D0131F" w:rsidRDefault="005A72D5" w:rsidP="005A72D5">
            <w:pPr>
              <w:pStyle w:val="NoSpacing"/>
              <w:jc w:val="right"/>
              <w:rPr>
                <w:rFonts w:cstheme="minorHAnsi"/>
                <w:sz w:val="20"/>
                <w:szCs w:val="20"/>
              </w:rPr>
            </w:pPr>
            <w:r>
              <w:rPr>
                <w:rFonts w:cstheme="minorHAnsi"/>
                <w:color w:val="000000"/>
                <w:kern w:val="24"/>
                <w:sz w:val="20"/>
                <w:szCs w:val="20"/>
              </w:rPr>
              <w:t>+18.2</w:t>
            </w:r>
            <w:r w:rsidRPr="00D0131F">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105935BB" w14:textId="553DA0F1" w:rsidR="005A72D5" w:rsidRPr="00D0131F" w:rsidRDefault="005A72D5" w:rsidP="005A72D5">
            <w:pPr>
              <w:pStyle w:val="NoSpacing"/>
              <w:jc w:val="right"/>
              <w:rPr>
                <w:rFonts w:cstheme="minorHAnsi"/>
                <w:sz w:val="20"/>
                <w:szCs w:val="20"/>
              </w:rPr>
            </w:pPr>
            <w:r>
              <w:rPr>
                <w:rFonts w:cstheme="minorHAnsi"/>
                <w:color w:val="000000"/>
                <w:kern w:val="24"/>
                <w:sz w:val="20"/>
                <w:szCs w:val="20"/>
              </w:rPr>
              <w:t>0.6</w:t>
            </w:r>
            <w:r w:rsidRPr="00D0131F">
              <w:rPr>
                <w:rFonts w:cstheme="minorHAnsi"/>
                <w:color w:val="000000"/>
                <w:kern w:val="24"/>
                <w:sz w:val="20"/>
                <w:szCs w:val="20"/>
              </w:rPr>
              <w:t>M</w:t>
            </w:r>
          </w:p>
        </w:tc>
        <w:tc>
          <w:tcPr>
            <w:tcW w:w="864" w:type="dxa"/>
            <w:vAlign w:val="center"/>
          </w:tcPr>
          <w:p w14:paraId="496EFB9C" w14:textId="29AA39C2" w:rsidR="005A72D5" w:rsidRPr="00D0131F" w:rsidRDefault="005A72D5" w:rsidP="005A72D5">
            <w:pPr>
              <w:pStyle w:val="NoSpacing"/>
              <w:jc w:val="right"/>
              <w:rPr>
                <w:rFonts w:cstheme="minorHAnsi"/>
                <w:sz w:val="20"/>
                <w:szCs w:val="20"/>
              </w:rPr>
            </w:pPr>
            <w:r>
              <w:rPr>
                <w:rFonts w:cstheme="minorHAnsi"/>
                <w:color w:val="000000"/>
                <w:kern w:val="24"/>
                <w:sz w:val="20"/>
                <w:szCs w:val="20"/>
              </w:rPr>
              <w:t>2.2</w:t>
            </w:r>
            <w:r w:rsidRPr="00D0131F">
              <w:rPr>
                <w:rFonts w:cstheme="minorHAnsi"/>
                <w:color w:val="000000"/>
                <w:kern w:val="24"/>
                <w:sz w:val="20"/>
                <w:szCs w:val="20"/>
              </w:rPr>
              <w:t>%</w:t>
            </w:r>
          </w:p>
        </w:tc>
        <w:tc>
          <w:tcPr>
            <w:tcW w:w="1008" w:type="dxa"/>
            <w:vAlign w:val="center"/>
          </w:tcPr>
          <w:p w14:paraId="41B75DBF" w14:textId="0690F22C" w:rsidR="005A72D5" w:rsidRPr="00D0131F" w:rsidRDefault="005A72D5" w:rsidP="005A72D5">
            <w:pPr>
              <w:pStyle w:val="NoSpacing"/>
              <w:jc w:val="right"/>
              <w:rPr>
                <w:rFonts w:cstheme="minorHAnsi"/>
                <w:sz w:val="20"/>
                <w:szCs w:val="20"/>
              </w:rPr>
            </w:pPr>
            <w:r w:rsidRPr="00D0131F">
              <w:rPr>
                <w:rFonts w:cstheme="minorHAnsi"/>
                <w:color w:val="000000"/>
                <w:kern w:val="24"/>
                <w:sz w:val="20"/>
                <w:szCs w:val="20"/>
              </w:rPr>
              <w:t>-</w:t>
            </w:r>
            <w:r>
              <w:rPr>
                <w:rFonts w:cstheme="minorHAnsi"/>
                <w:color w:val="000000"/>
                <w:kern w:val="24"/>
                <w:sz w:val="20"/>
                <w:szCs w:val="20"/>
              </w:rPr>
              <w:t>0.9</w:t>
            </w:r>
            <w:r w:rsidRPr="00D0131F">
              <w:rPr>
                <w:rFonts w:cstheme="minorHAnsi"/>
                <w:color w:val="000000"/>
                <w:kern w:val="24"/>
                <w:sz w:val="20"/>
                <w:szCs w:val="20"/>
              </w:rPr>
              <w:t>%</w:t>
            </w:r>
          </w:p>
        </w:tc>
        <w:tc>
          <w:tcPr>
            <w:tcW w:w="864" w:type="dxa"/>
            <w:vAlign w:val="center"/>
          </w:tcPr>
          <w:p w14:paraId="32944C91" w14:textId="0E6C7A39" w:rsidR="005A72D5" w:rsidRPr="00D0131F" w:rsidRDefault="005A72D5" w:rsidP="005A72D5">
            <w:pPr>
              <w:pStyle w:val="NoSpacing"/>
              <w:jc w:val="right"/>
              <w:rPr>
                <w:rFonts w:cstheme="minorHAnsi"/>
                <w:sz w:val="20"/>
                <w:szCs w:val="20"/>
              </w:rPr>
            </w:pPr>
            <w:r>
              <w:rPr>
                <w:rFonts w:cstheme="minorHAnsi"/>
                <w:color w:val="000000"/>
                <w:kern w:val="24"/>
                <w:sz w:val="20"/>
                <w:szCs w:val="20"/>
              </w:rPr>
              <w:t>+16.6</w:t>
            </w:r>
            <w:r w:rsidRPr="00D0131F">
              <w:rPr>
                <w:rFonts w:cstheme="minorHAnsi"/>
                <w:color w:val="000000"/>
                <w:kern w:val="24"/>
                <w:sz w:val="20"/>
                <w:szCs w:val="20"/>
              </w:rPr>
              <w:t>%</w:t>
            </w:r>
          </w:p>
        </w:tc>
      </w:tr>
    </w:tbl>
    <w:bookmarkEnd w:id="1"/>
    <w:p w14:paraId="7E5C7352" w14:textId="1C3D89C4" w:rsidR="00E25C6B" w:rsidRDefault="00E25C6B" w:rsidP="00E25C6B">
      <w:pPr>
        <w:pStyle w:val="NoSpacing"/>
        <w:spacing w:before="120"/>
        <w:rPr>
          <w:color w:val="7F7F7F" w:themeColor="text1" w:themeTint="80"/>
          <w:sz w:val="16"/>
          <w:szCs w:val="16"/>
        </w:rPr>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4</w:t>
      </w:r>
      <w:r w:rsidRPr="00555250">
        <w:rPr>
          <w:color w:val="7F7F7F" w:themeColor="text1" w:themeTint="80"/>
          <w:sz w:val="16"/>
          <w:szCs w:val="16"/>
        </w:rPr>
        <w:t xml:space="preserve"> weeks ending </w:t>
      </w:r>
      <w:r w:rsidR="005A72D5">
        <w:rPr>
          <w:color w:val="7F7F7F" w:themeColor="text1" w:themeTint="80"/>
          <w:sz w:val="16"/>
          <w:szCs w:val="16"/>
        </w:rPr>
        <w:t>12/29/2024</w:t>
      </w:r>
    </w:p>
    <w:p w14:paraId="14458122" w14:textId="554B61F8" w:rsidR="000E0D6B" w:rsidRDefault="005A72D5" w:rsidP="005E7FB2">
      <w:pPr>
        <w:pStyle w:val="NoSpacing"/>
      </w:pPr>
      <w:r>
        <w:lastRenderedPageBreak/>
        <w:t xml:space="preserve">While mere days, the week ending impact prompted a ripple in the typical </w:t>
      </w:r>
      <w:r w:rsidR="00D3797F">
        <w:t xml:space="preserve">quad-week </w:t>
      </w:r>
      <w:r w:rsidR="001B68E6">
        <w:t>1</w:t>
      </w:r>
      <w:r>
        <w:t>3</w:t>
      </w:r>
      <w:r w:rsidR="001B68E6">
        <w:t xml:space="preserve"> </w:t>
      </w:r>
      <w:r w:rsidR="00D3797F">
        <w:t>patterns</w:t>
      </w:r>
      <w:r>
        <w:t>. While the period-over-period increase has lessened in recent years, quad week 13 is typically bigger than the 12</w:t>
      </w:r>
      <w:r w:rsidRPr="005A72D5">
        <w:rPr>
          <w:vertAlign w:val="superscript"/>
        </w:rPr>
        <w:t>th</w:t>
      </w:r>
      <w:r>
        <w:t xml:space="preserve"> time period. This year was the first time in eight years that this was not the case. It is likely that some of the pounds will move into quad-week one in 2025.</w:t>
      </w:r>
    </w:p>
    <w:p w14:paraId="10A894BF" w14:textId="77777777" w:rsidR="005E7FB2" w:rsidRPr="00E72D31" w:rsidRDefault="005E7FB2" w:rsidP="005E7FB2">
      <w:pPr>
        <w:pStyle w:val="NoSpacing"/>
        <w:rPr>
          <w:sz w:val="10"/>
          <w:szCs w:val="10"/>
        </w:rPr>
      </w:pPr>
    </w:p>
    <w:tbl>
      <w:tblPr>
        <w:tblpPr w:leftFromText="141" w:rightFromText="141" w:vertAnchor="text" w:tblpY="1"/>
        <w:tblOverlap w:val="never"/>
        <w:tblW w:w="10253" w:type="dxa"/>
        <w:tblCellMar>
          <w:left w:w="70" w:type="dxa"/>
          <w:right w:w="70" w:type="dxa"/>
        </w:tblCellMar>
        <w:tblLook w:val="04A0" w:firstRow="1" w:lastRow="0" w:firstColumn="1" w:lastColumn="0" w:noHBand="0" w:noVBand="1"/>
      </w:tblPr>
      <w:tblGrid>
        <w:gridCol w:w="1413"/>
        <w:gridCol w:w="680"/>
        <w:gridCol w:w="680"/>
        <w:gridCol w:w="680"/>
        <w:gridCol w:w="680"/>
        <w:gridCol w:w="680"/>
        <w:gridCol w:w="680"/>
        <w:gridCol w:w="680"/>
        <w:gridCol w:w="680"/>
        <w:gridCol w:w="680"/>
        <w:gridCol w:w="680"/>
        <w:gridCol w:w="680"/>
        <w:gridCol w:w="680"/>
        <w:gridCol w:w="680"/>
      </w:tblGrid>
      <w:tr w:rsidR="005E7FB2" w:rsidRPr="005E7FB2" w14:paraId="552B7DD4" w14:textId="77777777" w:rsidTr="00D3797F">
        <w:trPr>
          <w:trHeight w:val="545"/>
        </w:trPr>
        <w:tc>
          <w:tcPr>
            <w:tcW w:w="1413" w:type="dxa"/>
            <w:tcBorders>
              <w:top w:val="single" w:sz="4" w:space="0" w:color="auto"/>
              <w:left w:val="single" w:sz="4" w:space="0" w:color="auto"/>
              <w:bottom w:val="single" w:sz="4" w:space="0" w:color="auto"/>
              <w:right w:val="single" w:sz="4" w:space="0" w:color="auto"/>
            </w:tcBorders>
            <w:shd w:val="clear" w:color="auto" w:fill="800000"/>
            <w:hideMark/>
          </w:tcPr>
          <w:p w14:paraId="54AA7F04" w14:textId="77777777" w:rsidR="005E7FB2" w:rsidRPr="00D3797F" w:rsidRDefault="005E7FB2" w:rsidP="005E7FB2">
            <w:pPr>
              <w:spacing w:after="0" w:line="240" w:lineRule="auto"/>
              <w:rPr>
                <w:rFonts w:eastAsia="Times New Roman" w:cstheme="minorHAnsi"/>
                <w:b/>
                <w:bCs/>
                <w:color w:val="FFFFFF" w:themeColor="background1"/>
                <w:sz w:val="16"/>
                <w:szCs w:val="16"/>
                <w:lang w:val="en-GB" w:eastAsia="nl-NL"/>
              </w:rPr>
            </w:pPr>
            <w:r w:rsidRPr="00D3797F">
              <w:rPr>
                <w:rFonts w:eastAsia="Times New Roman" w:cstheme="minorHAnsi"/>
                <w:b/>
                <w:bCs/>
                <w:color w:val="FFFFFF" w:themeColor="background1"/>
                <w:sz w:val="16"/>
                <w:szCs w:val="16"/>
                <w:lang w:val="en-GB" w:eastAsia="nl-NL"/>
              </w:rPr>
              <w:t>Pound growth rates versus PRIOR PERIOD</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BD79E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09DB5F5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FE55B4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3</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EBA85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4</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A684AC"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5</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A3C9D9E"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6</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727775C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7</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6BEE937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8</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A9CD27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9</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D41FD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10</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99EC0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46FFC19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B2DF40"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13</w:t>
            </w:r>
          </w:p>
        </w:tc>
      </w:tr>
      <w:tr w:rsidR="0022081A" w:rsidRPr="005E7FB2" w14:paraId="6700F574" w14:textId="77777777" w:rsidTr="0090384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871738" w14:textId="44F8C944"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2017</w:t>
            </w:r>
          </w:p>
        </w:tc>
        <w:tc>
          <w:tcPr>
            <w:tcW w:w="680" w:type="dxa"/>
            <w:tcBorders>
              <w:top w:val="nil"/>
              <w:left w:val="nil"/>
              <w:bottom w:val="single" w:sz="4" w:space="0" w:color="auto"/>
              <w:right w:val="single" w:sz="4" w:space="0" w:color="auto"/>
            </w:tcBorders>
            <w:shd w:val="clear" w:color="000000" w:fill="C4D79B"/>
            <w:noWrap/>
            <w:vAlign w:val="bottom"/>
            <w:hideMark/>
          </w:tcPr>
          <w:p w14:paraId="599273B8" w14:textId="2769A82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E6B8B7"/>
            <w:noWrap/>
            <w:vAlign w:val="bottom"/>
            <w:hideMark/>
          </w:tcPr>
          <w:p w14:paraId="626E3269" w14:textId="1BD4C9C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E6B8B7"/>
            <w:noWrap/>
            <w:vAlign w:val="bottom"/>
            <w:hideMark/>
          </w:tcPr>
          <w:p w14:paraId="3890BFE9" w14:textId="512E1B8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E6B8B7"/>
            <w:noWrap/>
            <w:vAlign w:val="bottom"/>
            <w:hideMark/>
          </w:tcPr>
          <w:p w14:paraId="241F185A" w14:textId="5F88FDB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DA9694"/>
            <w:noWrap/>
            <w:vAlign w:val="bottom"/>
            <w:hideMark/>
          </w:tcPr>
          <w:p w14:paraId="57F5EBD7" w14:textId="6F16CC6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DA9694"/>
            <w:noWrap/>
            <w:vAlign w:val="bottom"/>
            <w:hideMark/>
          </w:tcPr>
          <w:p w14:paraId="10658B53" w14:textId="6431DAB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-3.5%</w:t>
            </w:r>
          </w:p>
        </w:tc>
        <w:tc>
          <w:tcPr>
            <w:tcW w:w="680" w:type="dxa"/>
            <w:tcBorders>
              <w:top w:val="nil"/>
              <w:left w:val="nil"/>
              <w:bottom w:val="single" w:sz="4" w:space="0" w:color="auto"/>
              <w:right w:val="single" w:sz="4" w:space="0" w:color="auto"/>
            </w:tcBorders>
            <w:shd w:val="clear" w:color="000000" w:fill="E6B8B7"/>
            <w:noWrap/>
            <w:vAlign w:val="bottom"/>
            <w:hideMark/>
          </w:tcPr>
          <w:p w14:paraId="229E9811" w14:textId="0E7D3E4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F2DCDB"/>
            <w:noWrap/>
            <w:vAlign w:val="bottom"/>
            <w:hideMark/>
          </w:tcPr>
          <w:p w14:paraId="393C7E65" w14:textId="7A39F21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60C9C7B3" w14:textId="22CDEED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8E4BC"/>
            <w:noWrap/>
            <w:vAlign w:val="bottom"/>
            <w:hideMark/>
          </w:tcPr>
          <w:p w14:paraId="37FF0428" w14:textId="0E897E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auto" w:fill="D8E4BC"/>
            <w:noWrap/>
            <w:vAlign w:val="bottom"/>
            <w:hideMark/>
          </w:tcPr>
          <w:p w14:paraId="4D4F3C1C" w14:textId="2BC57DA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1.4%</w:t>
            </w:r>
          </w:p>
        </w:tc>
        <w:tc>
          <w:tcPr>
            <w:tcW w:w="680" w:type="dxa"/>
            <w:tcBorders>
              <w:top w:val="nil"/>
              <w:left w:val="nil"/>
              <w:bottom w:val="single" w:sz="4" w:space="0" w:color="auto"/>
              <w:right w:val="single" w:sz="4" w:space="0" w:color="auto"/>
            </w:tcBorders>
            <w:shd w:val="clear" w:color="000000" w:fill="C4D79B"/>
            <w:noWrap/>
            <w:vAlign w:val="bottom"/>
            <w:hideMark/>
          </w:tcPr>
          <w:p w14:paraId="73C1E63F" w14:textId="63C2B643"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7.9%</w:t>
            </w:r>
          </w:p>
        </w:tc>
        <w:tc>
          <w:tcPr>
            <w:tcW w:w="680" w:type="dxa"/>
            <w:tcBorders>
              <w:top w:val="nil"/>
              <w:left w:val="nil"/>
              <w:bottom w:val="single" w:sz="4" w:space="0" w:color="auto"/>
              <w:right w:val="single" w:sz="4" w:space="0" w:color="auto"/>
            </w:tcBorders>
            <w:shd w:val="clear" w:color="000000" w:fill="C4D79B"/>
            <w:noWrap/>
            <w:vAlign w:val="bottom"/>
            <w:hideMark/>
          </w:tcPr>
          <w:p w14:paraId="70AAE430" w14:textId="39CB6A3B"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7.3%</w:t>
            </w:r>
          </w:p>
        </w:tc>
      </w:tr>
      <w:tr w:rsidR="0022081A" w:rsidRPr="005E7FB2" w14:paraId="26A9F9D1" w14:textId="77777777" w:rsidTr="00B07D7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D55243" w14:textId="4FEEA25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2018</w:t>
            </w:r>
          </w:p>
        </w:tc>
        <w:tc>
          <w:tcPr>
            <w:tcW w:w="680" w:type="dxa"/>
            <w:tcBorders>
              <w:top w:val="nil"/>
              <w:left w:val="nil"/>
              <w:bottom w:val="single" w:sz="4" w:space="0" w:color="auto"/>
              <w:right w:val="single" w:sz="4" w:space="0" w:color="auto"/>
            </w:tcBorders>
            <w:shd w:val="clear" w:color="000000" w:fill="C4D79B"/>
            <w:noWrap/>
            <w:vAlign w:val="bottom"/>
            <w:hideMark/>
          </w:tcPr>
          <w:p w14:paraId="54C19620" w14:textId="741DDAFD"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21A935E6" w14:textId="644FD17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F2DCDB"/>
            <w:noWrap/>
            <w:vAlign w:val="bottom"/>
            <w:hideMark/>
          </w:tcPr>
          <w:p w14:paraId="73857E16" w14:textId="4E28556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-0.9%</w:t>
            </w:r>
          </w:p>
        </w:tc>
        <w:tc>
          <w:tcPr>
            <w:tcW w:w="680" w:type="dxa"/>
            <w:tcBorders>
              <w:top w:val="nil"/>
              <w:left w:val="nil"/>
              <w:bottom w:val="single" w:sz="4" w:space="0" w:color="auto"/>
              <w:right w:val="single" w:sz="4" w:space="0" w:color="auto"/>
            </w:tcBorders>
            <w:shd w:val="clear" w:color="000000" w:fill="DA9694"/>
            <w:noWrap/>
            <w:vAlign w:val="bottom"/>
            <w:hideMark/>
          </w:tcPr>
          <w:p w14:paraId="63430169" w14:textId="19E32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1C99F6E2" w14:textId="21A9C7E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A9694"/>
            <w:noWrap/>
            <w:vAlign w:val="bottom"/>
            <w:hideMark/>
          </w:tcPr>
          <w:p w14:paraId="59A0F87E" w14:textId="264A0EB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-3.8%</w:t>
            </w:r>
          </w:p>
        </w:tc>
        <w:tc>
          <w:tcPr>
            <w:tcW w:w="680" w:type="dxa"/>
            <w:tcBorders>
              <w:top w:val="nil"/>
              <w:left w:val="nil"/>
              <w:bottom w:val="single" w:sz="4" w:space="0" w:color="auto"/>
              <w:right w:val="single" w:sz="4" w:space="0" w:color="auto"/>
            </w:tcBorders>
            <w:shd w:val="clear" w:color="000000" w:fill="DA9694"/>
            <w:noWrap/>
            <w:vAlign w:val="bottom"/>
            <w:hideMark/>
          </w:tcPr>
          <w:p w14:paraId="0F69E30D" w14:textId="33A7B78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E6B8B7"/>
            <w:noWrap/>
            <w:vAlign w:val="bottom"/>
            <w:hideMark/>
          </w:tcPr>
          <w:p w14:paraId="6C382510" w14:textId="27EBF64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auto" w:fill="C4D79B"/>
            <w:noWrap/>
            <w:vAlign w:val="bottom"/>
            <w:hideMark/>
          </w:tcPr>
          <w:p w14:paraId="40F2D19F" w14:textId="6265E2E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D8E4BC"/>
            <w:noWrap/>
            <w:vAlign w:val="bottom"/>
            <w:hideMark/>
          </w:tcPr>
          <w:p w14:paraId="3E608F83" w14:textId="28AC80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1.7%</w:t>
            </w:r>
          </w:p>
        </w:tc>
        <w:tc>
          <w:tcPr>
            <w:tcW w:w="680" w:type="dxa"/>
            <w:tcBorders>
              <w:top w:val="nil"/>
              <w:left w:val="nil"/>
              <w:bottom w:val="single" w:sz="4" w:space="0" w:color="auto"/>
              <w:right w:val="single" w:sz="4" w:space="0" w:color="auto"/>
            </w:tcBorders>
            <w:shd w:val="clear" w:color="auto" w:fill="EBF1DE"/>
            <w:noWrap/>
            <w:vAlign w:val="bottom"/>
            <w:hideMark/>
          </w:tcPr>
          <w:p w14:paraId="196E6AC3" w14:textId="05BAC47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3C0269F8" w14:textId="20228B40"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9.4%</w:t>
            </w:r>
          </w:p>
        </w:tc>
        <w:tc>
          <w:tcPr>
            <w:tcW w:w="680" w:type="dxa"/>
            <w:tcBorders>
              <w:top w:val="nil"/>
              <w:left w:val="nil"/>
              <w:bottom w:val="single" w:sz="4" w:space="0" w:color="auto"/>
              <w:right w:val="single" w:sz="4" w:space="0" w:color="auto"/>
            </w:tcBorders>
            <w:shd w:val="clear" w:color="000000" w:fill="C4D79B"/>
            <w:noWrap/>
            <w:vAlign w:val="bottom"/>
            <w:hideMark/>
          </w:tcPr>
          <w:p w14:paraId="43A83299" w14:textId="33C1E1CF"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4.1%</w:t>
            </w:r>
          </w:p>
        </w:tc>
      </w:tr>
      <w:tr w:rsidR="0022081A" w:rsidRPr="005E7FB2" w14:paraId="765FD8B7" w14:textId="77777777" w:rsidTr="00B07D7F">
        <w:trPr>
          <w:trHeight w:val="27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17F6C" w14:textId="2285FC46" w:rsidR="0022081A" w:rsidRPr="0022081A" w:rsidRDefault="0022081A" w:rsidP="0022081A">
            <w:pPr>
              <w:spacing w:after="0" w:line="240" w:lineRule="auto"/>
              <w:rPr>
                <w:rFonts w:eastAsia="Times New Roman" w:cstheme="minorHAnsi"/>
                <w:b/>
                <w:bCs/>
                <w:color w:val="000000"/>
                <w:sz w:val="16"/>
                <w:szCs w:val="16"/>
                <w:lang w:val="nl-NL" w:eastAsia="nl-NL"/>
              </w:rPr>
            </w:pPr>
            <w:r w:rsidRPr="0022081A">
              <w:rPr>
                <w:rFonts w:cstheme="minorHAnsi"/>
                <w:b/>
                <w:bCs/>
                <w:color w:val="000000"/>
                <w:sz w:val="16"/>
                <w:szCs w:val="16"/>
              </w:rPr>
              <w:t>2019</w:t>
            </w:r>
          </w:p>
        </w:tc>
        <w:tc>
          <w:tcPr>
            <w:tcW w:w="680" w:type="dxa"/>
            <w:tcBorders>
              <w:top w:val="nil"/>
              <w:left w:val="nil"/>
              <w:bottom w:val="single" w:sz="4" w:space="0" w:color="auto"/>
              <w:right w:val="single" w:sz="4" w:space="0" w:color="auto"/>
            </w:tcBorders>
            <w:shd w:val="clear" w:color="000000" w:fill="C4D79B"/>
            <w:noWrap/>
            <w:vAlign w:val="bottom"/>
            <w:hideMark/>
          </w:tcPr>
          <w:p w14:paraId="22E22A6D" w14:textId="6EB8996A"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6.6%</w:t>
            </w:r>
          </w:p>
        </w:tc>
        <w:tc>
          <w:tcPr>
            <w:tcW w:w="680" w:type="dxa"/>
            <w:tcBorders>
              <w:top w:val="nil"/>
              <w:left w:val="nil"/>
              <w:bottom w:val="single" w:sz="4" w:space="0" w:color="auto"/>
              <w:right w:val="single" w:sz="4" w:space="0" w:color="auto"/>
            </w:tcBorders>
            <w:shd w:val="clear" w:color="000000" w:fill="DA9694"/>
            <w:noWrap/>
            <w:vAlign w:val="bottom"/>
            <w:hideMark/>
          </w:tcPr>
          <w:p w14:paraId="5982696B" w14:textId="1C81D997"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-4.4%</w:t>
            </w:r>
          </w:p>
        </w:tc>
        <w:tc>
          <w:tcPr>
            <w:tcW w:w="680" w:type="dxa"/>
            <w:tcBorders>
              <w:top w:val="nil"/>
              <w:left w:val="nil"/>
              <w:bottom w:val="single" w:sz="4" w:space="0" w:color="auto"/>
              <w:right w:val="single" w:sz="4" w:space="0" w:color="auto"/>
            </w:tcBorders>
            <w:shd w:val="clear" w:color="000000" w:fill="E6B8B7"/>
            <w:noWrap/>
            <w:vAlign w:val="bottom"/>
            <w:hideMark/>
          </w:tcPr>
          <w:p w14:paraId="7B131532" w14:textId="5FE7E180"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E6B8B7"/>
            <w:noWrap/>
            <w:vAlign w:val="bottom"/>
            <w:hideMark/>
          </w:tcPr>
          <w:p w14:paraId="26210B83" w14:textId="167DB0BC"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5CC36D3D" w14:textId="4E5AC97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DA9694"/>
            <w:noWrap/>
            <w:vAlign w:val="bottom"/>
            <w:hideMark/>
          </w:tcPr>
          <w:p w14:paraId="5042B665" w14:textId="28D3157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2A5C167C" w14:textId="37A7675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29D76C10" w14:textId="14A8BC5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-2.4%</w:t>
            </w:r>
          </w:p>
        </w:tc>
        <w:tc>
          <w:tcPr>
            <w:tcW w:w="680" w:type="dxa"/>
            <w:tcBorders>
              <w:top w:val="nil"/>
              <w:left w:val="nil"/>
              <w:bottom w:val="single" w:sz="4" w:space="0" w:color="auto"/>
              <w:right w:val="single" w:sz="4" w:space="0" w:color="auto"/>
            </w:tcBorders>
            <w:shd w:val="clear" w:color="auto" w:fill="C4D79B"/>
            <w:noWrap/>
            <w:vAlign w:val="bottom"/>
            <w:hideMark/>
          </w:tcPr>
          <w:p w14:paraId="4859738F" w14:textId="44D8F36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3.4%</w:t>
            </w:r>
          </w:p>
        </w:tc>
        <w:tc>
          <w:tcPr>
            <w:tcW w:w="680" w:type="dxa"/>
            <w:tcBorders>
              <w:top w:val="nil"/>
              <w:left w:val="nil"/>
              <w:bottom w:val="single" w:sz="4" w:space="0" w:color="auto"/>
              <w:right w:val="single" w:sz="4" w:space="0" w:color="auto"/>
            </w:tcBorders>
            <w:shd w:val="clear" w:color="auto" w:fill="EBF1DE"/>
            <w:noWrap/>
            <w:vAlign w:val="bottom"/>
            <w:hideMark/>
          </w:tcPr>
          <w:p w14:paraId="2AB3154F" w14:textId="50FF31E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0.9%</w:t>
            </w:r>
          </w:p>
        </w:tc>
        <w:tc>
          <w:tcPr>
            <w:tcW w:w="680" w:type="dxa"/>
            <w:tcBorders>
              <w:top w:val="nil"/>
              <w:left w:val="nil"/>
              <w:bottom w:val="single" w:sz="4" w:space="0" w:color="auto"/>
              <w:right w:val="single" w:sz="4" w:space="0" w:color="auto"/>
            </w:tcBorders>
            <w:shd w:val="clear" w:color="auto" w:fill="EBF1DE"/>
            <w:noWrap/>
            <w:vAlign w:val="bottom"/>
            <w:hideMark/>
          </w:tcPr>
          <w:p w14:paraId="334541CE" w14:textId="07E9B5E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02FA47F8" w14:textId="75EFEC0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8.1%</w:t>
            </w:r>
          </w:p>
        </w:tc>
        <w:tc>
          <w:tcPr>
            <w:tcW w:w="680" w:type="dxa"/>
            <w:tcBorders>
              <w:top w:val="nil"/>
              <w:left w:val="nil"/>
              <w:bottom w:val="single" w:sz="4" w:space="0" w:color="auto"/>
              <w:right w:val="single" w:sz="4" w:space="0" w:color="auto"/>
            </w:tcBorders>
            <w:shd w:val="clear" w:color="000000" w:fill="C4D79B"/>
            <w:noWrap/>
            <w:vAlign w:val="bottom"/>
            <w:hideMark/>
          </w:tcPr>
          <w:p w14:paraId="56A7972F" w14:textId="3A813AD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4.6%</w:t>
            </w:r>
          </w:p>
        </w:tc>
      </w:tr>
      <w:tr w:rsidR="0022081A" w:rsidRPr="005E7FB2" w14:paraId="37295F83" w14:textId="77777777" w:rsidTr="002E6000">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9D1E0" w14:textId="30320307"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2020</w:t>
            </w:r>
          </w:p>
        </w:tc>
        <w:tc>
          <w:tcPr>
            <w:tcW w:w="680" w:type="dxa"/>
            <w:tcBorders>
              <w:top w:val="nil"/>
              <w:left w:val="nil"/>
              <w:bottom w:val="single" w:sz="4" w:space="0" w:color="auto"/>
              <w:right w:val="single" w:sz="4" w:space="0" w:color="auto"/>
            </w:tcBorders>
            <w:shd w:val="clear" w:color="000000" w:fill="C4D79B"/>
            <w:noWrap/>
            <w:vAlign w:val="bottom"/>
            <w:hideMark/>
          </w:tcPr>
          <w:p w14:paraId="51C55FB5" w14:textId="7B917A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1BF57AB9" w14:textId="377542A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76933C"/>
            <w:noWrap/>
            <w:vAlign w:val="bottom"/>
            <w:hideMark/>
          </w:tcPr>
          <w:p w14:paraId="3371C820" w14:textId="4C195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12.5%</w:t>
            </w:r>
          </w:p>
        </w:tc>
        <w:tc>
          <w:tcPr>
            <w:tcW w:w="680" w:type="dxa"/>
            <w:tcBorders>
              <w:top w:val="nil"/>
              <w:left w:val="nil"/>
              <w:bottom w:val="single" w:sz="4" w:space="0" w:color="auto"/>
              <w:right w:val="single" w:sz="4" w:space="0" w:color="auto"/>
            </w:tcBorders>
            <w:shd w:val="clear" w:color="000000" w:fill="76933C"/>
            <w:noWrap/>
            <w:vAlign w:val="bottom"/>
            <w:hideMark/>
          </w:tcPr>
          <w:p w14:paraId="2F1740F4" w14:textId="6573950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5.0%</w:t>
            </w:r>
          </w:p>
        </w:tc>
        <w:tc>
          <w:tcPr>
            <w:tcW w:w="680" w:type="dxa"/>
            <w:tcBorders>
              <w:top w:val="nil"/>
              <w:left w:val="nil"/>
              <w:bottom w:val="single" w:sz="4" w:space="0" w:color="auto"/>
              <w:right w:val="single" w:sz="4" w:space="0" w:color="auto"/>
            </w:tcBorders>
            <w:shd w:val="clear" w:color="000000" w:fill="C4D79B"/>
            <w:noWrap/>
            <w:vAlign w:val="bottom"/>
            <w:hideMark/>
          </w:tcPr>
          <w:p w14:paraId="2A239580" w14:textId="1AF54E9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DA9694"/>
            <w:noWrap/>
            <w:vAlign w:val="bottom"/>
            <w:hideMark/>
          </w:tcPr>
          <w:p w14:paraId="322B2691" w14:textId="06E8829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-8.3%</w:t>
            </w:r>
          </w:p>
        </w:tc>
        <w:tc>
          <w:tcPr>
            <w:tcW w:w="680" w:type="dxa"/>
            <w:tcBorders>
              <w:top w:val="nil"/>
              <w:left w:val="nil"/>
              <w:bottom w:val="single" w:sz="4" w:space="0" w:color="auto"/>
              <w:right w:val="single" w:sz="4" w:space="0" w:color="auto"/>
            </w:tcBorders>
            <w:shd w:val="clear" w:color="000000" w:fill="DA9694"/>
            <w:noWrap/>
            <w:vAlign w:val="bottom"/>
            <w:hideMark/>
          </w:tcPr>
          <w:p w14:paraId="3C736510" w14:textId="2E0A8EC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31F8EF3B" w14:textId="3084F7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F2DCDB"/>
            <w:noWrap/>
            <w:vAlign w:val="bottom"/>
            <w:hideMark/>
          </w:tcPr>
          <w:p w14:paraId="35FE6ACC" w14:textId="4CF3777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7C53EF12" w14:textId="57126C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auto" w:fill="C4D79B"/>
            <w:noWrap/>
            <w:vAlign w:val="bottom"/>
            <w:hideMark/>
          </w:tcPr>
          <w:p w14:paraId="3B077303" w14:textId="6BB36BE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auto" w:fill="C4D79B"/>
            <w:noWrap/>
            <w:vAlign w:val="bottom"/>
            <w:hideMark/>
          </w:tcPr>
          <w:p w14:paraId="27D3FC1A" w14:textId="45BB6717"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4.8%</w:t>
            </w:r>
          </w:p>
        </w:tc>
        <w:tc>
          <w:tcPr>
            <w:tcW w:w="680" w:type="dxa"/>
            <w:tcBorders>
              <w:top w:val="nil"/>
              <w:left w:val="nil"/>
              <w:bottom w:val="single" w:sz="4" w:space="0" w:color="auto"/>
              <w:right w:val="single" w:sz="4" w:space="0" w:color="auto"/>
            </w:tcBorders>
            <w:shd w:val="clear" w:color="000000" w:fill="C4D79B"/>
            <w:noWrap/>
            <w:vAlign w:val="bottom"/>
            <w:hideMark/>
          </w:tcPr>
          <w:p w14:paraId="0A7B4C43" w14:textId="4F8AE9E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4.0%</w:t>
            </w:r>
          </w:p>
        </w:tc>
      </w:tr>
      <w:tr w:rsidR="0022081A" w:rsidRPr="005E7FB2" w14:paraId="7BFB53F4" w14:textId="77777777" w:rsidTr="002E6000">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1EEC5" w14:textId="09C2110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2021</w:t>
            </w:r>
          </w:p>
        </w:tc>
        <w:tc>
          <w:tcPr>
            <w:tcW w:w="680" w:type="dxa"/>
            <w:tcBorders>
              <w:top w:val="nil"/>
              <w:left w:val="nil"/>
              <w:bottom w:val="single" w:sz="4" w:space="0" w:color="auto"/>
              <w:right w:val="single" w:sz="4" w:space="0" w:color="auto"/>
            </w:tcBorders>
            <w:shd w:val="clear" w:color="000000" w:fill="C4D79B"/>
            <w:noWrap/>
            <w:vAlign w:val="bottom"/>
            <w:hideMark/>
          </w:tcPr>
          <w:p w14:paraId="0171CEAB" w14:textId="702C1A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5.2%</w:t>
            </w:r>
          </w:p>
        </w:tc>
        <w:tc>
          <w:tcPr>
            <w:tcW w:w="680" w:type="dxa"/>
            <w:tcBorders>
              <w:top w:val="nil"/>
              <w:left w:val="nil"/>
              <w:bottom w:val="single" w:sz="4" w:space="0" w:color="auto"/>
              <w:right w:val="single" w:sz="4" w:space="0" w:color="auto"/>
            </w:tcBorders>
            <w:shd w:val="clear" w:color="000000" w:fill="DA9694"/>
            <w:noWrap/>
            <w:vAlign w:val="bottom"/>
            <w:hideMark/>
          </w:tcPr>
          <w:p w14:paraId="06121419" w14:textId="0AFE3CE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-5.5%</w:t>
            </w:r>
          </w:p>
        </w:tc>
        <w:tc>
          <w:tcPr>
            <w:tcW w:w="680" w:type="dxa"/>
            <w:tcBorders>
              <w:top w:val="nil"/>
              <w:left w:val="nil"/>
              <w:bottom w:val="single" w:sz="4" w:space="0" w:color="auto"/>
              <w:right w:val="single" w:sz="4" w:space="0" w:color="auto"/>
            </w:tcBorders>
            <w:shd w:val="clear" w:color="000000" w:fill="DA9694"/>
            <w:noWrap/>
            <w:vAlign w:val="bottom"/>
            <w:hideMark/>
          </w:tcPr>
          <w:p w14:paraId="7E99A95E" w14:textId="312EC98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-4.6%</w:t>
            </w:r>
          </w:p>
        </w:tc>
        <w:tc>
          <w:tcPr>
            <w:tcW w:w="680" w:type="dxa"/>
            <w:tcBorders>
              <w:top w:val="nil"/>
              <w:left w:val="nil"/>
              <w:bottom w:val="single" w:sz="4" w:space="0" w:color="auto"/>
              <w:right w:val="single" w:sz="4" w:space="0" w:color="auto"/>
            </w:tcBorders>
            <w:shd w:val="clear" w:color="000000" w:fill="E6B8B7"/>
            <w:noWrap/>
            <w:vAlign w:val="bottom"/>
            <w:hideMark/>
          </w:tcPr>
          <w:p w14:paraId="68037FE1" w14:textId="667AF71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694DB792" w14:textId="4B38AED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65885E43" w14:textId="43DBDEE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3B9524B4" w14:textId="18A39BF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-5.8%</w:t>
            </w:r>
          </w:p>
        </w:tc>
        <w:tc>
          <w:tcPr>
            <w:tcW w:w="680" w:type="dxa"/>
            <w:tcBorders>
              <w:top w:val="nil"/>
              <w:left w:val="nil"/>
              <w:bottom w:val="single" w:sz="4" w:space="0" w:color="auto"/>
              <w:right w:val="single" w:sz="4" w:space="0" w:color="auto"/>
            </w:tcBorders>
            <w:shd w:val="clear" w:color="auto" w:fill="F2DCDB"/>
            <w:noWrap/>
            <w:vAlign w:val="bottom"/>
            <w:hideMark/>
          </w:tcPr>
          <w:p w14:paraId="63ADEA99" w14:textId="12DBB89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auto" w:fill="C4D79B"/>
            <w:noWrap/>
            <w:vAlign w:val="bottom"/>
            <w:hideMark/>
          </w:tcPr>
          <w:p w14:paraId="220DEE4A" w14:textId="1EA109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F2DCDB"/>
            <w:noWrap/>
            <w:vAlign w:val="bottom"/>
            <w:hideMark/>
          </w:tcPr>
          <w:p w14:paraId="0B7B4648" w14:textId="3C1A188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auto" w:fill="C4D79B"/>
            <w:noWrap/>
            <w:vAlign w:val="bottom"/>
            <w:hideMark/>
          </w:tcPr>
          <w:p w14:paraId="1343F0E1" w14:textId="3A2F197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C4D79B"/>
            <w:noWrap/>
            <w:vAlign w:val="bottom"/>
            <w:hideMark/>
          </w:tcPr>
          <w:p w14:paraId="307CAE79" w14:textId="37C59686"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5.3%</w:t>
            </w:r>
          </w:p>
        </w:tc>
        <w:tc>
          <w:tcPr>
            <w:tcW w:w="680" w:type="dxa"/>
            <w:tcBorders>
              <w:top w:val="nil"/>
              <w:left w:val="nil"/>
              <w:bottom w:val="single" w:sz="4" w:space="0" w:color="auto"/>
              <w:right w:val="single" w:sz="4" w:space="0" w:color="auto"/>
            </w:tcBorders>
            <w:shd w:val="clear" w:color="000000" w:fill="C4D79B"/>
            <w:noWrap/>
            <w:vAlign w:val="bottom"/>
            <w:hideMark/>
          </w:tcPr>
          <w:p w14:paraId="3A3E1D6B" w14:textId="69A2E62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2.6%</w:t>
            </w:r>
          </w:p>
        </w:tc>
      </w:tr>
      <w:tr w:rsidR="0022081A" w:rsidRPr="005E7FB2" w14:paraId="1317160F" w14:textId="77777777" w:rsidTr="00865920">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D0BFC8" w14:textId="0044201A"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2022</w:t>
            </w:r>
          </w:p>
        </w:tc>
        <w:tc>
          <w:tcPr>
            <w:tcW w:w="680" w:type="dxa"/>
            <w:tcBorders>
              <w:top w:val="nil"/>
              <w:left w:val="nil"/>
              <w:bottom w:val="single" w:sz="4" w:space="0" w:color="auto"/>
              <w:right w:val="single" w:sz="4" w:space="0" w:color="auto"/>
            </w:tcBorders>
            <w:shd w:val="clear" w:color="000000" w:fill="C4D79B"/>
            <w:noWrap/>
            <w:vAlign w:val="bottom"/>
            <w:hideMark/>
          </w:tcPr>
          <w:p w14:paraId="2A5A5D82" w14:textId="455AE4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DA9694"/>
            <w:noWrap/>
            <w:vAlign w:val="bottom"/>
            <w:hideMark/>
          </w:tcPr>
          <w:p w14:paraId="67C215D2" w14:textId="28C3D18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-4.7%</w:t>
            </w:r>
          </w:p>
        </w:tc>
        <w:tc>
          <w:tcPr>
            <w:tcW w:w="680" w:type="dxa"/>
            <w:tcBorders>
              <w:top w:val="nil"/>
              <w:left w:val="nil"/>
              <w:bottom w:val="single" w:sz="4" w:space="0" w:color="auto"/>
              <w:right w:val="single" w:sz="4" w:space="0" w:color="auto"/>
            </w:tcBorders>
            <w:shd w:val="clear" w:color="000000" w:fill="E6B8B7"/>
            <w:noWrap/>
            <w:vAlign w:val="bottom"/>
            <w:hideMark/>
          </w:tcPr>
          <w:p w14:paraId="1BCC1213" w14:textId="080B0D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DA9694"/>
            <w:noWrap/>
            <w:vAlign w:val="bottom"/>
            <w:hideMark/>
          </w:tcPr>
          <w:p w14:paraId="7EDE353F" w14:textId="4231322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-3.0%</w:t>
            </w:r>
          </w:p>
        </w:tc>
        <w:tc>
          <w:tcPr>
            <w:tcW w:w="680" w:type="dxa"/>
            <w:tcBorders>
              <w:top w:val="nil"/>
              <w:left w:val="nil"/>
              <w:bottom w:val="single" w:sz="4" w:space="0" w:color="auto"/>
              <w:right w:val="single" w:sz="4" w:space="0" w:color="auto"/>
            </w:tcBorders>
            <w:shd w:val="clear" w:color="000000" w:fill="DA9694"/>
            <w:noWrap/>
            <w:vAlign w:val="bottom"/>
            <w:hideMark/>
          </w:tcPr>
          <w:p w14:paraId="2DADA3A1" w14:textId="79316D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DA9694"/>
            <w:noWrap/>
            <w:vAlign w:val="bottom"/>
            <w:hideMark/>
          </w:tcPr>
          <w:p w14:paraId="796B2722" w14:textId="5A54E31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1EC946C7" w14:textId="6FDEBDC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E6B8B7"/>
            <w:noWrap/>
            <w:vAlign w:val="bottom"/>
            <w:hideMark/>
          </w:tcPr>
          <w:p w14:paraId="2AAD0AD9" w14:textId="7D28D1C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w:t>
            </w:r>
          </w:p>
        </w:tc>
        <w:tc>
          <w:tcPr>
            <w:tcW w:w="680" w:type="dxa"/>
            <w:tcBorders>
              <w:top w:val="nil"/>
              <w:left w:val="nil"/>
              <w:bottom w:val="single" w:sz="4" w:space="0" w:color="auto"/>
              <w:right w:val="single" w:sz="4" w:space="0" w:color="auto"/>
            </w:tcBorders>
            <w:shd w:val="clear" w:color="000000" w:fill="D8E4BC"/>
            <w:noWrap/>
            <w:vAlign w:val="bottom"/>
            <w:hideMark/>
          </w:tcPr>
          <w:p w14:paraId="4B85F668" w14:textId="22AD7EF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auto" w:fill="EBF1DE"/>
            <w:noWrap/>
            <w:vAlign w:val="bottom"/>
            <w:hideMark/>
          </w:tcPr>
          <w:p w14:paraId="6D4AC9DF" w14:textId="384B672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C4D79B"/>
            <w:noWrap/>
            <w:vAlign w:val="bottom"/>
            <w:hideMark/>
          </w:tcPr>
          <w:p w14:paraId="692F64E6" w14:textId="1887037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3.7%</w:t>
            </w:r>
          </w:p>
        </w:tc>
        <w:tc>
          <w:tcPr>
            <w:tcW w:w="680" w:type="dxa"/>
            <w:tcBorders>
              <w:top w:val="nil"/>
              <w:left w:val="nil"/>
              <w:bottom w:val="single" w:sz="4" w:space="0" w:color="auto"/>
              <w:right w:val="single" w:sz="4" w:space="0" w:color="auto"/>
            </w:tcBorders>
            <w:shd w:val="clear" w:color="000000" w:fill="C4D79B"/>
            <w:noWrap/>
            <w:vAlign w:val="bottom"/>
            <w:hideMark/>
          </w:tcPr>
          <w:p w14:paraId="5A3EB32E" w14:textId="29BEB36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8.0%</w:t>
            </w:r>
          </w:p>
        </w:tc>
        <w:tc>
          <w:tcPr>
            <w:tcW w:w="680" w:type="dxa"/>
            <w:tcBorders>
              <w:top w:val="nil"/>
              <w:left w:val="nil"/>
              <w:bottom w:val="single" w:sz="4" w:space="0" w:color="auto"/>
              <w:right w:val="single" w:sz="4" w:space="0" w:color="auto"/>
            </w:tcBorders>
            <w:shd w:val="clear" w:color="000000" w:fill="D8E4BC"/>
            <w:noWrap/>
            <w:vAlign w:val="bottom"/>
            <w:hideMark/>
          </w:tcPr>
          <w:p w14:paraId="326CCD92" w14:textId="349343C2"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1.5%</w:t>
            </w:r>
          </w:p>
        </w:tc>
      </w:tr>
      <w:tr w:rsidR="0022081A" w:rsidRPr="005E7FB2" w14:paraId="632BDF7D" w14:textId="77777777" w:rsidTr="00E25816">
        <w:trPr>
          <w:trHeight w:val="262"/>
        </w:trPr>
        <w:tc>
          <w:tcPr>
            <w:tcW w:w="1413" w:type="dxa"/>
            <w:tcBorders>
              <w:top w:val="nil"/>
              <w:left w:val="single" w:sz="4" w:space="0" w:color="auto"/>
              <w:bottom w:val="single" w:sz="4" w:space="0" w:color="auto"/>
              <w:right w:val="nil"/>
            </w:tcBorders>
            <w:shd w:val="clear" w:color="auto" w:fill="auto"/>
            <w:noWrap/>
            <w:vAlign w:val="bottom"/>
            <w:hideMark/>
          </w:tcPr>
          <w:p w14:paraId="77B603E1" w14:textId="2EDCD2D3"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2023</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1CBFC50D" w14:textId="120F89A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DA9694"/>
            <w:noWrap/>
            <w:vAlign w:val="bottom"/>
            <w:hideMark/>
          </w:tcPr>
          <w:p w14:paraId="03F7565F" w14:textId="5FD12BD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000000" w:fill="E6B8B7"/>
            <w:noWrap/>
            <w:vAlign w:val="bottom"/>
            <w:hideMark/>
          </w:tcPr>
          <w:p w14:paraId="42B93B66" w14:textId="02C951C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7289D6E" w14:textId="221A22A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E6B8B7"/>
            <w:noWrap/>
            <w:vAlign w:val="bottom"/>
            <w:hideMark/>
          </w:tcPr>
          <w:p w14:paraId="4C2C7BF2" w14:textId="09DD647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A9694"/>
            <w:noWrap/>
            <w:vAlign w:val="bottom"/>
            <w:hideMark/>
          </w:tcPr>
          <w:p w14:paraId="619BDDD6" w14:textId="3E892E0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-4.2%</w:t>
            </w:r>
          </w:p>
        </w:tc>
        <w:tc>
          <w:tcPr>
            <w:tcW w:w="680" w:type="dxa"/>
            <w:tcBorders>
              <w:top w:val="nil"/>
              <w:left w:val="nil"/>
              <w:bottom w:val="single" w:sz="4" w:space="0" w:color="auto"/>
              <w:right w:val="single" w:sz="4" w:space="0" w:color="auto"/>
            </w:tcBorders>
            <w:shd w:val="clear" w:color="000000" w:fill="DA9694"/>
            <w:noWrap/>
            <w:vAlign w:val="bottom"/>
            <w:hideMark/>
          </w:tcPr>
          <w:p w14:paraId="339A3C4D" w14:textId="1B76B07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E6B8B7"/>
            <w:noWrap/>
            <w:vAlign w:val="bottom"/>
            <w:hideMark/>
          </w:tcPr>
          <w:p w14:paraId="3F081C7B" w14:textId="6252032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EBF1DE"/>
            <w:noWrap/>
            <w:vAlign w:val="bottom"/>
            <w:hideMark/>
          </w:tcPr>
          <w:p w14:paraId="3539719A" w14:textId="4D47F33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D8E4BC"/>
            <w:noWrap/>
            <w:vAlign w:val="bottom"/>
            <w:hideMark/>
          </w:tcPr>
          <w:p w14:paraId="77C7EF64" w14:textId="3992554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auto" w:fill="C4D79B"/>
            <w:noWrap/>
            <w:vAlign w:val="bottom"/>
            <w:hideMark/>
          </w:tcPr>
          <w:p w14:paraId="4C37D659" w14:textId="2551D83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auto" w:fill="C4D79B"/>
            <w:noWrap/>
            <w:vAlign w:val="bottom"/>
            <w:hideMark/>
          </w:tcPr>
          <w:p w14:paraId="1526FA76" w14:textId="6E54898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9.1%</w:t>
            </w:r>
          </w:p>
        </w:tc>
        <w:tc>
          <w:tcPr>
            <w:tcW w:w="680" w:type="dxa"/>
            <w:tcBorders>
              <w:top w:val="nil"/>
              <w:left w:val="nil"/>
              <w:bottom w:val="single" w:sz="4" w:space="0" w:color="auto"/>
              <w:right w:val="single" w:sz="4" w:space="0" w:color="auto"/>
            </w:tcBorders>
            <w:shd w:val="clear" w:color="000000" w:fill="EBF1DE"/>
            <w:noWrap/>
            <w:vAlign w:val="bottom"/>
            <w:hideMark/>
          </w:tcPr>
          <w:p w14:paraId="13634A73" w14:textId="1788A2B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0.8%</w:t>
            </w:r>
          </w:p>
        </w:tc>
      </w:tr>
      <w:tr w:rsidR="005A72D5" w:rsidRPr="005E7FB2" w14:paraId="02AC87C2" w14:textId="77777777" w:rsidTr="008948B6">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hideMark/>
          </w:tcPr>
          <w:p w14:paraId="2529A3B7" w14:textId="4E6703B2" w:rsidR="005A72D5" w:rsidRPr="0022081A" w:rsidRDefault="005A72D5" w:rsidP="005A72D5">
            <w:pPr>
              <w:spacing w:after="0" w:line="240" w:lineRule="auto"/>
              <w:rPr>
                <w:rFonts w:eastAsia="Times New Roman" w:cstheme="minorHAnsi"/>
                <w:sz w:val="16"/>
                <w:szCs w:val="16"/>
                <w:lang w:val="nl-NL" w:eastAsia="nl-NL"/>
              </w:rPr>
            </w:pPr>
            <w:r w:rsidRPr="0022081A">
              <w:rPr>
                <w:rFonts w:cstheme="minorHAnsi"/>
                <w:sz w:val="16"/>
                <w:szCs w:val="16"/>
              </w:rPr>
              <w:t>2024</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497A6D22" w14:textId="31219C65"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A9694"/>
            <w:noWrap/>
            <w:vAlign w:val="bottom"/>
            <w:hideMark/>
          </w:tcPr>
          <w:p w14:paraId="78B9A064" w14:textId="63C77521"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044B23E1" w14:textId="79062F95"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1AC127A" w14:textId="5996A06C"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514DC4CF" w14:textId="319FF531"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DA9694"/>
            <w:noWrap/>
            <w:vAlign w:val="bottom"/>
            <w:hideMark/>
          </w:tcPr>
          <w:p w14:paraId="2F842805" w14:textId="4AA6E157"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7C001417" w14:textId="79753CF0"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auto" w:fill="F2DCDB"/>
            <w:noWrap/>
            <w:vAlign w:val="bottom"/>
            <w:hideMark/>
          </w:tcPr>
          <w:p w14:paraId="375723A5" w14:textId="0E3D894D" w:rsidR="005A72D5" w:rsidRPr="00105C56" w:rsidRDefault="005A72D5" w:rsidP="005A72D5">
            <w:pPr>
              <w:spacing w:after="0" w:line="240" w:lineRule="auto"/>
              <w:jc w:val="right"/>
              <w:rPr>
                <w:rFonts w:eastAsia="Times New Roman" w:cstheme="minorHAnsi"/>
                <w:sz w:val="16"/>
                <w:szCs w:val="16"/>
                <w:lang w:eastAsia="nl-NL"/>
              </w:rPr>
            </w:pPr>
            <w:r w:rsidRPr="00105C56">
              <w:rPr>
                <w:rFonts w:eastAsia="Times New Roman" w:cstheme="minorHAnsi"/>
                <w:sz w:val="16"/>
                <w:szCs w:val="16"/>
                <w:lang w:eastAsia="nl-NL"/>
              </w:rPr>
              <w:t>-0</w:t>
            </w:r>
            <w:r>
              <w:rPr>
                <w:rFonts w:eastAsia="Times New Roman" w:cstheme="minorHAnsi"/>
                <w:sz w:val="16"/>
                <w:szCs w:val="16"/>
                <w:lang w:eastAsia="nl-NL"/>
              </w:rPr>
              <w:t>.</w:t>
            </w:r>
            <w:r w:rsidRPr="00105C56">
              <w:rPr>
                <w:rFonts w:eastAsia="Times New Roman" w:cstheme="minorHAnsi"/>
                <w:sz w:val="16"/>
                <w:szCs w:val="16"/>
                <w:lang w:eastAsia="nl-NL"/>
              </w:rPr>
              <w:t>6%</w:t>
            </w:r>
          </w:p>
        </w:tc>
        <w:tc>
          <w:tcPr>
            <w:tcW w:w="680" w:type="dxa"/>
            <w:tcBorders>
              <w:top w:val="nil"/>
              <w:left w:val="single" w:sz="4" w:space="0" w:color="auto"/>
              <w:bottom w:val="single" w:sz="4" w:space="0" w:color="auto"/>
              <w:right w:val="single" w:sz="4" w:space="0" w:color="auto"/>
            </w:tcBorders>
            <w:shd w:val="clear" w:color="auto" w:fill="C4D79B"/>
            <w:vAlign w:val="bottom"/>
          </w:tcPr>
          <w:p w14:paraId="63A52816" w14:textId="7A64AA39"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2.9%</w:t>
            </w:r>
          </w:p>
        </w:tc>
        <w:tc>
          <w:tcPr>
            <w:tcW w:w="680" w:type="dxa"/>
            <w:tcBorders>
              <w:top w:val="nil"/>
              <w:left w:val="single" w:sz="4" w:space="0" w:color="auto"/>
              <w:bottom w:val="single" w:sz="4" w:space="0" w:color="auto"/>
              <w:right w:val="single" w:sz="4" w:space="0" w:color="auto"/>
            </w:tcBorders>
            <w:shd w:val="clear" w:color="auto" w:fill="EBF1DE"/>
            <w:noWrap/>
            <w:vAlign w:val="bottom"/>
            <w:hideMark/>
          </w:tcPr>
          <w:p w14:paraId="24FF4F0E" w14:textId="4E925BF1"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0.7%</w:t>
            </w:r>
          </w:p>
        </w:tc>
        <w:tc>
          <w:tcPr>
            <w:tcW w:w="680" w:type="dxa"/>
            <w:tcBorders>
              <w:top w:val="single" w:sz="4" w:space="0" w:color="auto"/>
              <w:left w:val="single" w:sz="4" w:space="0" w:color="auto"/>
              <w:bottom w:val="single" w:sz="4" w:space="0" w:color="auto"/>
              <w:right w:val="single" w:sz="4" w:space="0" w:color="auto"/>
            </w:tcBorders>
            <w:shd w:val="clear" w:color="auto" w:fill="D8E4BC"/>
            <w:noWrap/>
            <w:vAlign w:val="bottom"/>
            <w:hideMark/>
          </w:tcPr>
          <w:p w14:paraId="718884F4" w14:textId="770CD77B"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1.3%</w:t>
            </w:r>
          </w:p>
        </w:tc>
        <w:tc>
          <w:tcPr>
            <w:tcW w:w="680" w:type="dxa"/>
            <w:tcBorders>
              <w:top w:val="single" w:sz="4" w:space="0" w:color="auto"/>
              <w:left w:val="single" w:sz="4" w:space="0" w:color="auto"/>
              <w:bottom w:val="single" w:sz="4" w:space="0" w:color="auto"/>
              <w:right w:val="single" w:sz="4" w:space="0" w:color="auto"/>
            </w:tcBorders>
            <w:shd w:val="clear" w:color="auto" w:fill="C4D79B"/>
            <w:noWrap/>
            <w:vAlign w:val="bottom"/>
            <w:hideMark/>
          </w:tcPr>
          <w:p w14:paraId="1D617FAD" w14:textId="1E869E9A" w:rsidR="005A72D5" w:rsidRPr="0022081A" w:rsidRDefault="005A72D5" w:rsidP="005A72D5">
            <w:pPr>
              <w:spacing w:after="0" w:line="240" w:lineRule="auto"/>
              <w:jc w:val="right"/>
              <w:rPr>
                <w:rFonts w:eastAsia="Times New Roman" w:cstheme="minorHAnsi"/>
                <w:sz w:val="16"/>
                <w:szCs w:val="16"/>
                <w:lang w:val="nl-NL" w:eastAsia="nl-NL"/>
              </w:rPr>
            </w:pPr>
            <w:r>
              <w:rPr>
                <w:rFonts w:cstheme="minorHAnsi"/>
                <w:sz w:val="16"/>
                <w:szCs w:val="16"/>
              </w:rPr>
              <w:t>10.9</w:t>
            </w:r>
            <w:r w:rsidRPr="00E4705F">
              <w:rPr>
                <w:rFonts w:cstheme="minorHAnsi"/>
                <w:sz w:val="16"/>
                <w:szCs w:val="16"/>
              </w:rPr>
              <w:t>%</w:t>
            </w:r>
          </w:p>
        </w:tc>
        <w:tc>
          <w:tcPr>
            <w:tcW w:w="680" w:type="dxa"/>
            <w:tcBorders>
              <w:top w:val="nil"/>
              <w:left w:val="nil"/>
              <w:bottom w:val="single" w:sz="4" w:space="0" w:color="auto"/>
              <w:right w:val="single" w:sz="4" w:space="0" w:color="auto"/>
            </w:tcBorders>
            <w:shd w:val="clear" w:color="000000" w:fill="E6B8B7"/>
            <w:noWrap/>
            <w:vAlign w:val="bottom"/>
            <w:hideMark/>
          </w:tcPr>
          <w:p w14:paraId="406BCD37" w14:textId="0B67B302" w:rsidR="005A72D5" w:rsidRPr="005E7FB2" w:rsidRDefault="005A72D5" w:rsidP="005A72D5">
            <w:pPr>
              <w:spacing w:after="0" w:line="240" w:lineRule="auto"/>
              <w:jc w:val="right"/>
              <w:rPr>
                <w:rFonts w:ascii="Times New Roman" w:eastAsia="Times New Roman" w:hAnsi="Times New Roman" w:cs="Times New Roman"/>
                <w:sz w:val="20"/>
                <w:szCs w:val="20"/>
                <w:lang w:val="nl-NL" w:eastAsia="nl-NL"/>
              </w:rPr>
            </w:pPr>
            <w:r w:rsidRPr="0022081A">
              <w:rPr>
                <w:rFonts w:cstheme="minorHAnsi"/>
                <w:sz w:val="16"/>
                <w:szCs w:val="16"/>
              </w:rPr>
              <w:t>-1.</w:t>
            </w:r>
            <w:r>
              <w:rPr>
                <w:rFonts w:cstheme="minorHAnsi"/>
                <w:sz w:val="16"/>
                <w:szCs w:val="16"/>
              </w:rPr>
              <w:t>5</w:t>
            </w:r>
            <w:r w:rsidRPr="0022081A">
              <w:rPr>
                <w:rFonts w:cstheme="minorHAnsi"/>
                <w:sz w:val="16"/>
                <w:szCs w:val="16"/>
              </w:rPr>
              <w:t>%</w:t>
            </w:r>
          </w:p>
        </w:tc>
      </w:tr>
    </w:tbl>
    <w:p w14:paraId="0A7B459F" w14:textId="77777777" w:rsidR="0022081A" w:rsidRPr="00E72D31" w:rsidRDefault="0022081A" w:rsidP="000E0D6B">
      <w:pPr>
        <w:pStyle w:val="NoSpacing"/>
        <w:rPr>
          <w:color w:val="7F7F7F" w:themeColor="text1" w:themeTint="80"/>
          <w:sz w:val="6"/>
          <w:szCs w:val="6"/>
        </w:rPr>
      </w:pPr>
    </w:p>
    <w:p w14:paraId="6771805F" w14:textId="5F384E3C" w:rsidR="005E7FB2" w:rsidRPr="000E0D6B" w:rsidRDefault="005E7FB2" w:rsidP="000E0D6B">
      <w:pPr>
        <w:pStyle w:val="NoSpacing"/>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quad weeks 2017-2024</w:t>
      </w:r>
      <w:r>
        <w:br w:type="textWrapping" w:clear="all"/>
      </w:r>
    </w:p>
    <w:p w14:paraId="2A45DBD8" w14:textId="573B7B08" w:rsidR="00666D40" w:rsidRPr="00D3797F" w:rsidRDefault="00666D40" w:rsidP="00927EAC">
      <w:pPr>
        <w:pStyle w:val="Heading2"/>
        <w:rPr>
          <w:b/>
          <w:bCs/>
          <w:color w:val="800000"/>
        </w:rPr>
      </w:pPr>
      <w:r w:rsidRPr="00D3797F">
        <w:rPr>
          <w:b/>
          <w:bCs/>
          <w:color w:val="800000"/>
        </w:rPr>
        <w:t>Inflation</w:t>
      </w:r>
      <w:r w:rsidR="00D3797F">
        <w:rPr>
          <w:b/>
          <w:bCs/>
          <w:color w:val="800000"/>
        </w:rPr>
        <w:t xml:space="preserve"> and promotions</w:t>
      </w:r>
    </w:p>
    <w:p w14:paraId="4A3C02BB" w14:textId="70F116C3" w:rsidR="00666D40" w:rsidRDefault="00030ABF" w:rsidP="00472B02">
      <w:pPr>
        <w:pStyle w:val="NoSpacing"/>
      </w:pPr>
      <w:r>
        <w:t>M</w:t>
      </w:r>
      <w:r w:rsidR="000E2A1D">
        <w:t xml:space="preserve">ushroom prices </w:t>
      </w:r>
      <w:r w:rsidR="00F83117">
        <w:t xml:space="preserve">decreased </w:t>
      </w:r>
      <w:r w:rsidR="00AD75ED">
        <w:t xml:space="preserve">slightly </w:t>
      </w:r>
      <w:r w:rsidR="00024D78">
        <w:t>over the</w:t>
      </w:r>
      <w:r w:rsidR="00AD75ED">
        <w:t xml:space="preserve"> past four weeks</w:t>
      </w:r>
      <w:r w:rsidR="00F83117">
        <w:t xml:space="preserve"> on a </w:t>
      </w:r>
      <w:r w:rsidR="00157136">
        <w:t>per pound basis</w:t>
      </w:r>
      <w:r w:rsidR="006A1766">
        <w:t xml:space="preserve">. </w:t>
      </w:r>
      <w:r w:rsidR="0090384F">
        <w:t>Across all types and sizes, the average package price reached $3.0</w:t>
      </w:r>
      <w:r w:rsidR="00F83117">
        <w:t>8</w:t>
      </w:r>
      <w:r w:rsidR="0090384F">
        <w:t xml:space="preserve">, </w:t>
      </w:r>
      <w:r w:rsidR="005A72D5">
        <w:t>down 1.6</w:t>
      </w:r>
      <w:r w:rsidR="0090384F">
        <w:t xml:space="preserve">% from last year. </w:t>
      </w:r>
      <w:r w:rsidR="00024D78">
        <w:t xml:space="preserve">During the </w:t>
      </w:r>
      <w:r w:rsidR="00AD75ED">
        <w:t>full year,</w:t>
      </w:r>
      <w:r w:rsidR="00024D78">
        <w:t xml:space="preserve"> prices </w:t>
      </w:r>
      <w:r w:rsidR="0090384F">
        <w:t xml:space="preserve">increased </w:t>
      </w:r>
      <w:r w:rsidR="00F83117">
        <w:t xml:space="preserve">around </w:t>
      </w:r>
      <w:r w:rsidR="0090384F">
        <w:t>1% on a per unit basis</w:t>
      </w:r>
      <w:r w:rsidR="00024D78">
        <w:t xml:space="preserve">. </w:t>
      </w:r>
      <w:r w:rsidR="000E2A1D">
        <w:t xml:space="preserve"> </w:t>
      </w:r>
    </w:p>
    <w:p w14:paraId="484C35C9" w14:textId="2EB83AFC" w:rsidR="0094219B" w:rsidRPr="00E72D31" w:rsidRDefault="0094219B" w:rsidP="00472B02">
      <w:pPr>
        <w:pStyle w:val="NoSpacing"/>
        <w:rPr>
          <w:sz w:val="10"/>
          <w:szCs w:val="10"/>
        </w:rPr>
      </w:pPr>
    </w:p>
    <w:tbl>
      <w:tblPr>
        <w:tblStyle w:val="ListTable3-Accent3"/>
        <w:tblW w:w="10075" w:type="dxa"/>
        <w:tblLook w:val="04A0" w:firstRow="1" w:lastRow="0" w:firstColumn="1" w:lastColumn="0" w:noHBand="0" w:noVBand="1"/>
      </w:tblPr>
      <w:tblGrid>
        <w:gridCol w:w="2875"/>
        <w:gridCol w:w="1450"/>
        <w:gridCol w:w="973"/>
        <w:gridCol w:w="909"/>
        <w:gridCol w:w="1776"/>
        <w:gridCol w:w="817"/>
        <w:gridCol w:w="1275"/>
      </w:tblGrid>
      <w:tr w:rsidR="00AD75ED" w:rsidRPr="00124CB7" w14:paraId="6E9D1AEF" w14:textId="162D7E86" w:rsidTr="00F831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shd w:val="clear" w:color="auto" w:fill="800000"/>
          </w:tcPr>
          <w:p w14:paraId="74759AF7" w14:textId="77777777" w:rsidR="00AD75ED" w:rsidRPr="00124CB7" w:rsidRDefault="00AD75ED" w:rsidP="00AD75ED">
            <w:pPr>
              <w:pStyle w:val="NoSpacing"/>
            </w:pPr>
            <w:r w:rsidRPr="00124CB7">
              <w:t>Fresh mushrooms</w:t>
            </w:r>
          </w:p>
        </w:tc>
        <w:tc>
          <w:tcPr>
            <w:tcW w:w="1450" w:type="dxa"/>
            <w:shd w:val="clear" w:color="auto" w:fill="800000"/>
          </w:tcPr>
          <w:p w14:paraId="5EC6EFF0" w14:textId="0B7F69A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5A72D5">
              <w:t>12/29/2024</w:t>
            </w:r>
          </w:p>
        </w:tc>
        <w:tc>
          <w:tcPr>
            <w:tcW w:w="973" w:type="dxa"/>
            <w:shd w:val="clear" w:color="auto" w:fill="800000"/>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tcBorders>
              <w:right w:val="single" w:sz="4" w:space="0" w:color="auto"/>
            </w:tcBorders>
            <w:shd w:val="clear" w:color="auto" w:fill="800000"/>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tcBorders>
              <w:top w:val="single" w:sz="4" w:space="0" w:color="DC2F02" w:themeColor="accent3"/>
              <w:left w:val="single" w:sz="4" w:space="0" w:color="auto"/>
              <w:bottom w:val="single" w:sz="4" w:space="0" w:color="DC2F02" w:themeColor="accent3"/>
            </w:tcBorders>
            <w:shd w:val="clear" w:color="auto" w:fill="800000"/>
          </w:tcPr>
          <w:p w14:paraId="6A5B944C" w14:textId="71A9049D"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5A72D5">
              <w:t>12/29/2024</w:t>
            </w:r>
          </w:p>
        </w:tc>
        <w:tc>
          <w:tcPr>
            <w:tcW w:w="817" w:type="dxa"/>
            <w:shd w:val="clear" w:color="auto" w:fill="800000"/>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shd w:val="clear" w:color="auto" w:fill="800000"/>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865920" w14:paraId="2B35BE12" w14:textId="0A6FF303" w:rsidTr="00F83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B4CB702" w14:textId="77777777" w:rsidR="00865920" w:rsidRPr="00124CB7" w:rsidRDefault="00865920" w:rsidP="00865920">
            <w:pPr>
              <w:pStyle w:val="NoSpacing"/>
              <w:rPr>
                <w:b w:val="0"/>
                <w:bCs w:val="0"/>
              </w:rPr>
            </w:pPr>
            <w:r>
              <w:rPr>
                <w:b w:val="0"/>
                <w:bCs w:val="0"/>
              </w:rPr>
              <w:t>Price/unit</w:t>
            </w:r>
          </w:p>
        </w:tc>
        <w:tc>
          <w:tcPr>
            <w:tcW w:w="1450" w:type="dxa"/>
          </w:tcPr>
          <w:p w14:paraId="2915A28B" w14:textId="0FD979BD" w:rsidR="00865920" w:rsidRDefault="00865920" w:rsidP="00865920">
            <w:pPr>
              <w:pStyle w:val="NoSpacing"/>
              <w:jc w:val="right"/>
              <w:cnfStyle w:val="000000100000" w:firstRow="0" w:lastRow="0" w:firstColumn="0" w:lastColumn="0" w:oddVBand="0" w:evenVBand="0" w:oddHBand="1" w:evenHBand="0" w:firstRowFirstColumn="0" w:firstRowLastColumn="0" w:lastRowFirstColumn="0" w:lastRowLastColumn="0"/>
            </w:pPr>
            <w:r>
              <w:t>$</w:t>
            </w:r>
            <w:r w:rsidR="00F83117">
              <w:t>3.08</w:t>
            </w:r>
          </w:p>
        </w:tc>
        <w:tc>
          <w:tcPr>
            <w:tcW w:w="973" w:type="dxa"/>
          </w:tcPr>
          <w:p w14:paraId="3E0967AB" w14:textId="1101D321" w:rsidR="00865920" w:rsidRDefault="005A72D5" w:rsidP="00865920">
            <w:pPr>
              <w:pStyle w:val="NoSpacing"/>
              <w:jc w:val="right"/>
              <w:cnfStyle w:val="000000100000" w:firstRow="0" w:lastRow="0" w:firstColumn="0" w:lastColumn="0" w:oddVBand="0" w:evenVBand="0" w:oddHBand="1" w:evenHBand="0" w:firstRowFirstColumn="0" w:firstRowLastColumn="0" w:lastRowFirstColumn="0" w:lastRowLastColumn="0"/>
            </w:pPr>
            <w:r>
              <w:t>-1.6</w:t>
            </w:r>
            <w:r w:rsidR="00865920" w:rsidRPr="007E7D43">
              <w:t>%</w:t>
            </w:r>
          </w:p>
        </w:tc>
        <w:tc>
          <w:tcPr>
            <w:tcW w:w="909" w:type="dxa"/>
            <w:tcBorders>
              <w:right w:val="single" w:sz="4" w:space="0" w:color="auto"/>
            </w:tcBorders>
          </w:tcPr>
          <w:p w14:paraId="09DAD54E" w14:textId="3030321D" w:rsidR="00865920" w:rsidRDefault="00F83117" w:rsidP="00865920">
            <w:pPr>
              <w:pStyle w:val="NoSpacing"/>
              <w:jc w:val="right"/>
              <w:cnfStyle w:val="000000100000" w:firstRow="0" w:lastRow="0" w:firstColumn="0" w:lastColumn="0" w:oddVBand="0" w:evenVBand="0" w:oddHBand="1" w:evenHBand="0" w:firstRowFirstColumn="0" w:firstRowLastColumn="0" w:lastRowFirstColumn="0" w:lastRowLastColumn="0"/>
            </w:pPr>
            <w:r>
              <w:t>-</w:t>
            </w:r>
            <w:r w:rsidR="005A72D5">
              <w:t>2.1</w:t>
            </w:r>
            <w:r w:rsidR="00865920" w:rsidRPr="007E7D43">
              <w:t>%</w:t>
            </w:r>
          </w:p>
        </w:tc>
        <w:tc>
          <w:tcPr>
            <w:tcW w:w="1776" w:type="dxa"/>
            <w:tcBorders>
              <w:left w:val="single" w:sz="4" w:space="0" w:color="auto"/>
            </w:tcBorders>
          </w:tcPr>
          <w:p w14:paraId="03CA719E" w14:textId="69658A32" w:rsidR="00865920" w:rsidRDefault="00865920" w:rsidP="00865920">
            <w:pPr>
              <w:pStyle w:val="NoSpacing"/>
              <w:jc w:val="right"/>
              <w:cnfStyle w:val="000000100000" w:firstRow="0" w:lastRow="0" w:firstColumn="0" w:lastColumn="0" w:oddVBand="0" w:evenVBand="0" w:oddHBand="1" w:evenHBand="0" w:firstRowFirstColumn="0" w:firstRowLastColumn="0" w:lastRowFirstColumn="0" w:lastRowLastColumn="0"/>
            </w:pPr>
            <w:r>
              <w:t>$</w:t>
            </w:r>
            <w:r w:rsidR="005A72D5">
              <w:t>2.96</w:t>
            </w:r>
          </w:p>
        </w:tc>
        <w:tc>
          <w:tcPr>
            <w:tcW w:w="817" w:type="dxa"/>
          </w:tcPr>
          <w:p w14:paraId="08755E5E" w14:textId="7E308F0C" w:rsidR="00865920" w:rsidRDefault="00865920" w:rsidP="00865920">
            <w:pPr>
              <w:pStyle w:val="NoSpacing"/>
              <w:jc w:val="right"/>
              <w:cnfStyle w:val="000000100000" w:firstRow="0" w:lastRow="0" w:firstColumn="0" w:lastColumn="0" w:oddVBand="0" w:evenVBand="0" w:oddHBand="1" w:evenHBand="0" w:firstRowFirstColumn="0" w:firstRowLastColumn="0" w:lastRowFirstColumn="0" w:lastRowLastColumn="0"/>
            </w:pPr>
            <w:r w:rsidRPr="00636D0A">
              <w:t>+</w:t>
            </w:r>
            <w:r w:rsidR="005A72D5">
              <w:t>0.9</w:t>
            </w:r>
            <w:r w:rsidRPr="00636D0A">
              <w:t>%</w:t>
            </w:r>
          </w:p>
        </w:tc>
        <w:tc>
          <w:tcPr>
            <w:tcW w:w="1275" w:type="dxa"/>
          </w:tcPr>
          <w:p w14:paraId="19B1F6D2" w14:textId="606B4816" w:rsidR="00865920" w:rsidRDefault="00865920" w:rsidP="00865920">
            <w:pPr>
              <w:pStyle w:val="NoSpacing"/>
              <w:jc w:val="right"/>
              <w:cnfStyle w:val="000000100000" w:firstRow="0" w:lastRow="0" w:firstColumn="0" w:lastColumn="0" w:oddVBand="0" w:evenVBand="0" w:oddHBand="1" w:evenHBand="0" w:firstRowFirstColumn="0" w:firstRowLastColumn="0" w:lastRowFirstColumn="0" w:lastRowLastColumn="0"/>
            </w:pPr>
            <w:r w:rsidRPr="00636D0A">
              <w:t>+</w:t>
            </w:r>
            <w:r w:rsidR="005A72D5">
              <w:t>2.5</w:t>
            </w:r>
            <w:r w:rsidRPr="00636D0A">
              <w:t>%</w:t>
            </w:r>
          </w:p>
        </w:tc>
      </w:tr>
      <w:tr w:rsidR="00865920" w14:paraId="7C18640F" w14:textId="5B569261" w:rsidTr="00F83117">
        <w:tc>
          <w:tcPr>
            <w:cnfStyle w:val="001000000000" w:firstRow="0" w:lastRow="0" w:firstColumn="1" w:lastColumn="0" w:oddVBand="0" w:evenVBand="0" w:oddHBand="0" w:evenHBand="0" w:firstRowFirstColumn="0" w:firstRowLastColumn="0" w:lastRowFirstColumn="0" w:lastRowLastColumn="0"/>
            <w:tcW w:w="2875" w:type="dxa"/>
          </w:tcPr>
          <w:p w14:paraId="47C97CE0" w14:textId="77777777" w:rsidR="00865920" w:rsidRPr="00124CB7" w:rsidRDefault="00865920" w:rsidP="00865920">
            <w:pPr>
              <w:pStyle w:val="NoSpacing"/>
              <w:rPr>
                <w:b w:val="0"/>
                <w:bCs w:val="0"/>
              </w:rPr>
            </w:pPr>
            <w:r>
              <w:rPr>
                <w:b w:val="0"/>
                <w:bCs w:val="0"/>
              </w:rPr>
              <w:t>Price/volume</w:t>
            </w:r>
          </w:p>
        </w:tc>
        <w:tc>
          <w:tcPr>
            <w:tcW w:w="1450" w:type="dxa"/>
          </w:tcPr>
          <w:p w14:paraId="17C86A08" w14:textId="360086A0" w:rsidR="00865920" w:rsidRDefault="00865920" w:rsidP="00865920">
            <w:pPr>
              <w:pStyle w:val="NoSpacing"/>
              <w:jc w:val="right"/>
              <w:cnfStyle w:val="000000000000" w:firstRow="0" w:lastRow="0" w:firstColumn="0" w:lastColumn="0" w:oddVBand="0" w:evenVBand="0" w:oddHBand="0" w:evenHBand="0" w:firstRowFirstColumn="0" w:firstRowLastColumn="0" w:lastRowFirstColumn="0" w:lastRowLastColumn="0"/>
            </w:pPr>
            <w:r>
              <w:t>$</w:t>
            </w:r>
            <w:r w:rsidR="00D24514">
              <w:t>4.5</w:t>
            </w:r>
            <w:r w:rsidR="005A72D5">
              <w:t>0</w:t>
            </w:r>
          </w:p>
        </w:tc>
        <w:tc>
          <w:tcPr>
            <w:tcW w:w="973" w:type="dxa"/>
          </w:tcPr>
          <w:p w14:paraId="7E986169" w14:textId="0383A1E6" w:rsidR="00865920" w:rsidRDefault="00F83117" w:rsidP="00865920">
            <w:pPr>
              <w:pStyle w:val="NoSpacing"/>
              <w:jc w:val="right"/>
              <w:cnfStyle w:val="000000000000" w:firstRow="0" w:lastRow="0" w:firstColumn="0" w:lastColumn="0" w:oddVBand="0" w:evenVBand="0" w:oddHBand="0" w:evenHBand="0" w:firstRowFirstColumn="0" w:firstRowLastColumn="0" w:lastRowFirstColumn="0" w:lastRowLastColumn="0"/>
            </w:pPr>
            <w:r>
              <w:t>-</w:t>
            </w:r>
            <w:r w:rsidR="005A72D5">
              <w:t>1.3</w:t>
            </w:r>
            <w:r w:rsidR="00865920" w:rsidRPr="007E7D43">
              <w:t>%</w:t>
            </w:r>
          </w:p>
        </w:tc>
        <w:tc>
          <w:tcPr>
            <w:tcW w:w="909" w:type="dxa"/>
            <w:tcBorders>
              <w:right w:val="single" w:sz="4" w:space="0" w:color="auto"/>
            </w:tcBorders>
          </w:tcPr>
          <w:p w14:paraId="36DDF54D" w14:textId="04D25A07" w:rsidR="00865920" w:rsidRDefault="00F83117" w:rsidP="00865920">
            <w:pPr>
              <w:pStyle w:val="NoSpacing"/>
              <w:jc w:val="right"/>
              <w:cnfStyle w:val="000000000000" w:firstRow="0" w:lastRow="0" w:firstColumn="0" w:lastColumn="0" w:oddVBand="0" w:evenVBand="0" w:oddHBand="0" w:evenHBand="0" w:firstRowFirstColumn="0" w:firstRowLastColumn="0" w:lastRowFirstColumn="0" w:lastRowLastColumn="0"/>
            </w:pPr>
            <w:r>
              <w:t>-</w:t>
            </w:r>
            <w:r w:rsidR="005A72D5">
              <w:t>2.2</w:t>
            </w:r>
            <w:r w:rsidR="00865920" w:rsidRPr="007E7D43">
              <w:t>%</w:t>
            </w:r>
          </w:p>
        </w:tc>
        <w:tc>
          <w:tcPr>
            <w:tcW w:w="1776" w:type="dxa"/>
            <w:tcBorders>
              <w:top w:val="single" w:sz="4" w:space="0" w:color="DC2F02" w:themeColor="accent3"/>
              <w:left w:val="single" w:sz="4" w:space="0" w:color="auto"/>
              <w:bottom w:val="single" w:sz="4" w:space="0" w:color="DC2F02" w:themeColor="accent3"/>
            </w:tcBorders>
          </w:tcPr>
          <w:p w14:paraId="233A8701" w14:textId="4EC05CB7" w:rsidR="00865920" w:rsidRDefault="00865920" w:rsidP="00865920">
            <w:pPr>
              <w:pStyle w:val="NoSpacing"/>
              <w:jc w:val="right"/>
              <w:cnfStyle w:val="000000000000" w:firstRow="0" w:lastRow="0" w:firstColumn="0" w:lastColumn="0" w:oddVBand="0" w:evenVBand="0" w:oddHBand="0" w:evenHBand="0" w:firstRowFirstColumn="0" w:firstRowLastColumn="0" w:lastRowFirstColumn="0" w:lastRowLastColumn="0"/>
            </w:pPr>
            <w:r>
              <w:t>$</w:t>
            </w:r>
            <w:r w:rsidR="00D24514">
              <w:t>4.55</w:t>
            </w:r>
          </w:p>
        </w:tc>
        <w:tc>
          <w:tcPr>
            <w:tcW w:w="817" w:type="dxa"/>
          </w:tcPr>
          <w:p w14:paraId="1759FD32" w14:textId="792A70AC" w:rsidR="00865920" w:rsidRDefault="00865920" w:rsidP="00865920">
            <w:pPr>
              <w:pStyle w:val="NoSpacing"/>
              <w:jc w:val="right"/>
              <w:cnfStyle w:val="000000000000" w:firstRow="0" w:lastRow="0" w:firstColumn="0" w:lastColumn="0" w:oddVBand="0" w:evenVBand="0" w:oddHBand="0" w:evenHBand="0" w:firstRowFirstColumn="0" w:firstRowLastColumn="0" w:lastRowFirstColumn="0" w:lastRowLastColumn="0"/>
            </w:pPr>
            <w:r w:rsidRPr="00636D0A">
              <w:t>+</w:t>
            </w:r>
            <w:r w:rsidR="00D24514">
              <w:t>0.</w:t>
            </w:r>
            <w:r w:rsidR="005A72D5">
              <w:t>7</w:t>
            </w:r>
            <w:r w:rsidRPr="00636D0A">
              <w:t>%</w:t>
            </w:r>
          </w:p>
        </w:tc>
        <w:tc>
          <w:tcPr>
            <w:tcW w:w="1275" w:type="dxa"/>
          </w:tcPr>
          <w:p w14:paraId="725313BE" w14:textId="404FB383" w:rsidR="00865920" w:rsidRDefault="00865920" w:rsidP="00865920">
            <w:pPr>
              <w:pStyle w:val="NoSpacing"/>
              <w:jc w:val="right"/>
              <w:cnfStyle w:val="000000000000" w:firstRow="0" w:lastRow="0" w:firstColumn="0" w:lastColumn="0" w:oddVBand="0" w:evenVBand="0" w:oddHBand="0" w:evenHBand="0" w:firstRowFirstColumn="0" w:firstRowLastColumn="0" w:lastRowFirstColumn="0" w:lastRowLastColumn="0"/>
            </w:pPr>
            <w:r w:rsidRPr="00636D0A">
              <w:t>+</w:t>
            </w:r>
            <w:r w:rsidR="00F83117">
              <w:t>2.</w:t>
            </w:r>
            <w:r w:rsidR="005A72D5">
              <w:t>0</w:t>
            </w:r>
            <w:r w:rsidRPr="00636D0A">
              <w:t>%</w:t>
            </w:r>
          </w:p>
        </w:tc>
      </w:tr>
    </w:tbl>
    <w:p w14:paraId="5CF68DB9" w14:textId="77777777" w:rsidR="00170260" w:rsidRDefault="00170260" w:rsidP="00170260">
      <w:pPr>
        <w:pStyle w:val="NoSpacing"/>
      </w:pPr>
    </w:p>
    <w:p w14:paraId="611C2D9A" w14:textId="6B5F32CA" w:rsidR="00170260" w:rsidRDefault="00E72D31" w:rsidP="00170260">
      <w:pPr>
        <w:pStyle w:val="NoSpacing"/>
      </w:pPr>
      <w:r>
        <w:t>Fresh</w:t>
      </w:r>
      <w:r w:rsidR="00266BBD">
        <w:t xml:space="preserve"> m</w:t>
      </w:r>
      <w:r w:rsidR="00865920">
        <w:t xml:space="preserve">ushroom promotions averaged </w:t>
      </w:r>
      <w:r w:rsidR="00F83117">
        <w:t>1</w:t>
      </w:r>
      <w:r w:rsidR="005A72D5">
        <w:t>8.0</w:t>
      </w:r>
      <w:r>
        <w:t xml:space="preserve">% of total dollars during the quad week, </w:t>
      </w:r>
      <w:r w:rsidR="005A72D5">
        <w:t>which was exactly the same share as the average for the year</w:t>
      </w:r>
      <w:r w:rsidR="00B672D0">
        <w:t>.</w:t>
      </w:r>
      <w:r w:rsidR="00E508BB">
        <w:t xml:space="preserve"> </w:t>
      </w:r>
    </w:p>
    <w:p w14:paraId="363D2F2B" w14:textId="77777777" w:rsidR="00170260" w:rsidRPr="00E72D31" w:rsidRDefault="00170260" w:rsidP="00170260">
      <w:pPr>
        <w:pStyle w:val="NoSpacing"/>
        <w:rPr>
          <w:sz w:val="10"/>
          <w:szCs w:val="10"/>
        </w:rPr>
      </w:pPr>
    </w:p>
    <w:tbl>
      <w:tblPr>
        <w:tblStyle w:val="ListTable3-Accent3"/>
        <w:tblW w:w="10070" w:type="dxa"/>
        <w:tblLook w:val="04A0" w:firstRow="1" w:lastRow="0" w:firstColumn="1" w:lastColumn="0" w:noHBand="0" w:noVBand="1"/>
      </w:tblPr>
      <w:tblGrid>
        <w:gridCol w:w="3505"/>
        <w:gridCol w:w="1773"/>
        <w:gridCol w:w="1369"/>
        <w:gridCol w:w="2054"/>
        <w:gridCol w:w="1369"/>
      </w:tblGrid>
      <w:tr w:rsidR="00972570" w:rsidRPr="00124CB7" w14:paraId="5DFB9CAB" w14:textId="77777777" w:rsidTr="00F83117">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05" w:type="dxa"/>
            <w:shd w:val="clear" w:color="auto" w:fill="800000"/>
          </w:tcPr>
          <w:p w14:paraId="4168BC1A" w14:textId="77777777" w:rsidR="00972570" w:rsidRPr="00124CB7" w:rsidRDefault="00972570" w:rsidP="009A5A3B">
            <w:pPr>
              <w:pStyle w:val="NoSpacing"/>
            </w:pPr>
            <w:r w:rsidRPr="00124CB7">
              <w:t>Fresh mushrooms</w:t>
            </w:r>
          </w:p>
        </w:tc>
        <w:tc>
          <w:tcPr>
            <w:tcW w:w="1773" w:type="dxa"/>
            <w:shd w:val="clear" w:color="auto" w:fill="800000"/>
          </w:tcPr>
          <w:p w14:paraId="6A0500B8" w14:textId="62EAFD7A"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5A72D5">
              <w:t>12/29/2024</w:t>
            </w:r>
          </w:p>
        </w:tc>
        <w:tc>
          <w:tcPr>
            <w:tcW w:w="1369" w:type="dxa"/>
            <w:tcBorders>
              <w:right w:val="single" w:sz="4" w:space="0" w:color="auto"/>
            </w:tcBorders>
            <w:shd w:val="clear" w:color="auto" w:fill="800000"/>
          </w:tcPr>
          <w:p w14:paraId="5CF9736D" w14:textId="780DB308"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tcBorders>
              <w:top w:val="single" w:sz="4" w:space="0" w:color="DC2F02" w:themeColor="accent3"/>
              <w:left w:val="single" w:sz="4" w:space="0" w:color="auto"/>
              <w:bottom w:val="single" w:sz="4" w:space="0" w:color="DC2F02" w:themeColor="accent3"/>
            </w:tcBorders>
            <w:shd w:val="clear" w:color="auto" w:fill="800000"/>
          </w:tcPr>
          <w:p w14:paraId="413A4F70" w14:textId="02108F08"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5A72D5">
              <w:t>12/29/2024</w:t>
            </w:r>
          </w:p>
        </w:tc>
        <w:tc>
          <w:tcPr>
            <w:tcW w:w="1369" w:type="dxa"/>
            <w:shd w:val="clear" w:color="auto" w:fill="800000"/>
          </w:tcPr>
          <w:p w14:paraId="75064544" w14:textId="312D709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F8311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05" w:type="dxa"/>
          </w:tcPr>
          <w:p w14:paraId="2B5B6C81" w14:textId="6313A9FC" w:rsidR="00D15B2D" w:rsidRDefault="00D15B2D" w:rsidP="00D15B2D">
            <w:pPr>
              <w:pStyle w:val="NoSpacing"/>
              <w:rPr>
                <w:b w:val="0"/>
                <w:bCs w:val="0"/>
              </w:rPr>
            </w:pPr>
            <w:r>
              <w:rPr>
                <w:b w:val="0"/>
                <w:bCs w:val="0"/>
              </w:rPr>
              <w:t>Share of dollars sold on promotion</w:t>
            </w:r>
          </w:p>
        </w:tc>
        <w:tc>
          <w:tcPr>
            <w:tcW w:w="1773" w:type="dxa"/>
          </w:tcPr>
          <w:p w14:paraId="6D5E5F03" w14:textId="4667B76F" w:rsidR="00D15B2D" w:rsidRPr="00D15B2D" w:rsidRDefault="00F83117"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w:t>
            </w:r>
            <w:r w:rsidR="005A72D5">
              <w:rPr>
                <w:rFonts w:ascii="Calibri" w:eastAsia="Calibri" w:hAnsi="Calibri"/>
                <w:kern w:val="24"/>
              </w:rPr>
              <w:t>8.0</w:t>
            </w:r>
            <w:r w:rsidR="00D15B2D" w:rsidRPr="00D15B2D">
              <w:rPr>
                <w:rFonts w:ascii="Calibri" w:eastAsia="Calibri" w:hAnsi="Calibri"/>
                <w:kern w:val="24"/>
              </w:rPr>
              <w:t>%</w:t>
            </w:r>
          </w:p>
        </w:tc>
        <w:tc>
          <w:tcPr>
            <w:tcW w:w="1369" w:type="dxa"/>
            <w:tcBorders>
              <w:right w:val="single" w:sz="4" w:space="0" w:color="auto"/>
            </w:tcBorders>
          </w:tcPr>
          <w:p w14:paraId="586FECBD" w14:textId="77312031" w:rsidR="00D15B2D" w:rsidRPr="00D15B2D" w:rsidRDefault="00F83117"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5A72D5">
              <w:rPr>
                <w:rFonts w:ascii="Calibri" w:eastAsia="Calibri" w:hAnsi="Calibri"/>
                <w:kern w:val="24"/>
              </w:rPr>
              <w:t>15.6</w:t>
            </w:r>
            <w:r w:rsidR="00D15B2D" w:rsidRPr="00D15B2D">
              <w:rPr>
                <w:rFonts w:ascii="Calibri" w:eastAsia="Calibri" w:hAnsi="Calibri"/>
                <w:kern w:val="24"/>
              </w:rPr>
              <w:t>%</w:t>
            </w:r>
          </w:p>
        </w:tc>
        <w:tc>
          <w:tcPr>
            <w:tcW w:w="2054" w:type="dxa"/>
            <w:tcBorders>
              <w:left w:val="single" w:sz="4" w:space="0" w:color="auto"/>
            </w:tcBorders>
          </w:tcPr>
          <w:p w14:paraId="66CD7DD9" w14:textId="39117339" w:rsidR="00D15B2D" w:rsidRPr="00D15B2D" w:rsidRDefault="00F83117"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w:t>
            </w:r>
            <w:r w:rsidR="005A72D5">
              <w:rPr>
                <w:rFonts w:ascii="Calibri" w:eastAsia="Calibri" w:hAnsi="Calibri"/>
                <w:kern w:val="24"/>
              </w:rPr>
              <w:t>8.0</w:t>
            </w:r>
            <w:r w:rsidR="00D15B2D" w:rsidRPr="00D15B2D">
              <w:rPr>
                <w:rFonts w:ascii="Calibri" w:eastAsia="Calibri" w:hAnsi="Calibri"/>
                <w:kern w:val="24"/>
              </w:rPr>
              <w:t>%</w:t>
            </w:r>
          </w:p>
        </w:tc>
        <w:tc>
          <w:tcPr>
            <w:tcW w:w="1369" w:type="dxa"/>
          </w:tcPr>
          <w:p w14:paraId="7461CDF6" w14:textId="621300FC" w:rsidR="00D15B2D" w:rsidRPr="00D15B2D" w:rsidRDefault="00FA0530"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F83117">
              <w:rPr>
                <w:rFonts w:ascii="Calibri" w:eastAsia="Calibri" w:hAnsi="Calibri"/>
                <w:kern w:val="24"/>
              </w:rPr>
              <w:t>3.8</w:t>
            </w:r>
            <w:r w:rsidR="00D15B2D" w:rsidRPr="00D15B2D">
              <w:rPr>
                <w:rFonts w:ascii="Calibri" w:eastAsia="Calibri" w:hAnsi="Calibri"/>
                <w:kern w:val="24"/>
              </w:rPr>
              <w:t>%</w:t>
            </w:r>
          </w:p>
        </w:tc>
      </w:tr>
    </w:tbl>
    <w:p w14:paraId="23606064" w14:textId="08BCD7D5"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w:t>
      </w:r>
      <w:r w:rsidR="00FA0530">
        <w:rPr>
          <w:color w:val="7F7F7F" w:themeColor="text1" w:themeTint="80"/>
          <w:sz w:val="16"/>
          <w:szCs w:val="16"/>
        </w:rPr>
        <w:t>MULO+</w:t>
      </w:r>
      <w:r w:rsidRPr="00555250">
        <w:rPr>
          <w:color w:val="7F7F7F" w:themeColor="text1" w:themeTint="80"/>
          <w:sz w:val="16"/>
          <w:szCs w:val="16"/>
        </w:rPr>
        <w:t xml:space="preserve">,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5A72D5">
        <w:rPr>
          <w:color w:val="7F7F7F" w:themeColor="text1" w:themeTint="80"/>
          <w:sz w:val="16"/>
          <w:szCs w:val="16"/>
        </w:rPr>
        <w:t>12/29/2024</w:t>
      </w:r>
    </w:p>
    <w:p w14:paraId="0804BC52" w14:textId="568E8254" w:rsidR="0092088E" w:rsidRDefault="0092088E" w:rsidP="00472B02">
      <w:pPr>
        <w:pStyle w:val="NoSpacing"/>
      </w:pPr>
    </w:p>
    <w:p w14:paraId="59E70896" w14:textId="52CB107E" w:rsidR="004C2808" w:rsidRPr="00D3797F" w:rsidRDefault="004C2808" w:rsidP="004462C1">
      <w:pPr>
        <w:pStyle w:val="Heading2"/>
        <w:rPr>
          <w:b/>
          <w:bCs/>
          <w:color w:val="800000"/>
        </w:rPr>
      </w:pPr>
      <w:r w:rsidRPr="00D3797F">
        <w:rPr>
          <w:b/>
          <w:bCs/>
          <w:color w:val="800000"/>
        </w:rPr>
        <w:t>Additional observations:</w:t>
      </w:r>
    </w:p>
    <w:p w14:paraId="22421914" w14:textId="728E8B9A" w:rsidR="00C9550B" w:rsidRDefault="00C9550B" w:rsidP="009A5A3B">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A0530">
        <w:rPr>
          <w:color w:val="000000" w:themeColor="text1"/>
        </w:rPr>
        <w:t>$</w:t>
      </w:r>
      <w:r w:rsidR="00F83117">
        <w:rPr>
          <w:color w:val="000000" w:themeColor="text1"/>
        </w:rPr>
        <w:t>73</w:t>
      </w:r>
      <w:r w:rsidR="005A72D5">
        <w:rPr>
          <w:color w:val="000000" w:themeColor="text1"/>
        </w:rPr>
        <w:t>1</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A0530">
        <w:rPr>
          <w:color w:val="000000" w:themeColor="text1"/>
        </w:rPr>
        <w:t xml:space="preserve"> decrease of </w:t>
      </w:r>
      <w:r w:rsidR="005A72D5">
        <w:rPr>
          <w:color w:val="000000" w:themeColor="text1"/>
        </w:rPr>
        <w:t>2.0</w:t>
      </w:r>
      <w:r w:rsidR="00F06A94">
        <w:rPr>
          <w:color w:val="000000" w:themeColor="text1"/>
        </w:rPr>
        <w:t>% versus year-ago levels.</w:t>
      </w:r>
      <w:r w:rsidR="00834A70">
        <w:rPr>
          <w:color w:val="000000" w:themeColor="text1"/>
        </w:rPr>
        <w:t xml:space="preserve"> </w:t>
      </w:r>
      <w:r w:rsidR="00D3797F">
        <w:rPr>
          <w:color w:val="000000" w:themeColor="text1"/>
        </w:rPr>
        <w:t xml:space="preserve">Meanwhile, 24-ounce packages grew </w:t>
      </w:r>
      <w:r w:rsidR="00F565B7">
        <w:rPr>
          <w:color w:val="000000" w:themeColor="text1"/>
        </w:rPr>
        <w:t>dollar, uni</w:t>
      </w:r>
      <w:r w:rsidR="00D3797F">
        <w:rPr>
          <w:color w:val="000000" w:themeColor="text1"/>
        </w:rPr>
        <w:t>t</w:t>
      </w:r>
      <w:r w:rsidR="00F565B7">
        <w:rPr>
          <w:color w:val="000000" w:themeColor="text1"/>
        </w:rPr>
        <w:t xml:space="preserve"> and pound</w:t>
      </w:r>
      <w:r w:rsidR="00D3797F">
        <w:rPr>
          <w:color w:val="000000" w:themeColor="text1"/>
        </w:rPr>
        <w:t xml:space="preserve"> sales versus last year</w:t>
      </w:r>
      <w:r w:rsidR="00F83117">
        <w:rPr>
          <w:color w:val="000000" w:themeColor="text1"/>
        </w:rPr>
        <w:t>, whereas 16-ounce packages had a below-average performance</w:t>
      </w:r>
      <w:r w:rsidR="00F565B7">
        <w:rPr>
          <w:color w:val="000000" w:themeColor="text1"/>
        </w:rPr>
        <w:t xml:space="preserve">. </w:t>
      </w:r>
      <w:r w:rsidR="005A72D5">
        <w:rPr>
          <w:color w:val="000000" w:themeColor="text1"/>
        </w:rPr>
        <w:t>The 24-ounce packages also performed best in the quad-week view.</w:t>
      </w:r>
    </w:p>
    <w:p w14:paraId="39BF4FC8" w14:textId="44C08CC0" w:rsidR="00E72D31" w:rsidRDefault="004462C1" w:rsidP="009718A1">
      <w:pPr>
        <w:pStyle w:val="NoSpacing"/>
        <w:numPr>
          <w:ilvl w:val="0"/>
          <w:numId w:val="2"/>
        </w:numPr>
        <w:rPr>
          <w:color w:val="000000" w:themeColor="text1"/>
        </w:rPr>
      </w:pPr>
      <w:r w:rsidRPr="00E72D31">
        <w:rPr>
          <w:color w:val="000000" w:themeColor="text1"/>
          <w:u w:val="single"/>
        </w:rPr>
        <w:t>Organic vs</w:t>
      </w:r>
      <w:r w:rsidR="005B6968" w:rsidRPr="00E72D31">
        <w:rPr>
          <w:color w:val="000000" w:themeColor="text1"/>
          <w:u w:val="single"/>
        </w:rPr>
        <w:t>.</w:t>
      </w:r>
      <w:r w:rsidRPr="00E72D31">
        <w:rPr>
          <w:color w:val="000000" w:themeColor="text1"/>
          <w:u w:val="single"/>
        </w:rPr>
        <w:t xml:space="preserve"> conventional</w:t>
      </w:r>
      <w:r w:rsidRPr="00E72D31">
        <w:rPr>
          <w:color w:val="000000" w:themeColor="text1"/>
        </w:rPr>
        <w:t xml:space="preserve">: Organic </w:t>
      </w:r>
      <w:r w:rsidR="005B6968" w:rsidRPr="00E72D31">
        <w:rPr>
          <w:color w:val="000000" w:themeColor="text1"/>
        </w:rPr>
        <w:t xml:space="preserve">mushrooms </w:t>
      </w:r>
      <w:r w:rsidR="002511F5">
        <w:rPr>
          <w:color w:val="000000" w:themeColor="text1"/>
        </w:rPr>
        <w:t>generated $</w:t>
      </w:r>
      <w:r w:rsidR="005A72D5">
        <w:rPr>
          <w:color w:val="000000" w:themeColor="text1"/>
        </w:rPr>
        <w:t>27.9</w:t>
      </w:r>
      <w:r w:rsidR="002511F5">
        <w:rPr>
          <w:color w:val="000000" w:themeColor="text1"/>
        </w:rPr>
        <w:t xml:space="preserve"> million in sales over the</w:t>
      </w:r>
      <w:r w:rsidR="005A72D5">
        <w:rPr>
          <w:color w:val="000000" w:themeColor="text1"/>
        </w:rPr>
        <w:t xml:space="preserve"> quad-week period</w:t>
      </w:r>
      <w:r w:rsidR="00FC3E0A">
        <w:rPr>
          <w:color w:val="000000" w:themeColor="text1"/>
        </w:rPr>
        <w:t xml:space="preserve">, </w:t>
      </w:r>
      <w:r w:rsidR="002511F5">
        <w:rPr>
          <w:color w:val="000000" w:themeColor="text1"/>
        </w:rPr>
        <w:t xml:space="preserve">up </w:t>
      </w:r>
      <w:r w:rsidR="005A72D5">
        <w:rPr>
          <w:color w:val="000000" w:themeColor="text1"/>
        </w:rPr>
        <w:t>1</w:t>
      </w:r>
      <w:r w:rsidR="00F83117">
        <w:rPr>
          <w:color w:val="000000" w:themeColor="text1"/>
        </w:rPr>
        <w:t>.6</w:t>
      </w:r>
      <w:r w:rsidR="002511F5">
        <w:rPr>
          <w:color w:val="000000" w:themeColor="text1"/>
        </w:rPr>
        <w:t>% over year ago levels as well as ahead of the prior two and three years. Additionally, organic mushrooms gained in unit and volume sales</w:t>
      </w:r>
      <w:r w:rsidR="005A72D5">
        <w:rPr>
          <w:color w:val="000000" w:themeColor="text1"/>
        </w:rPr>
        <w:t xml:space="preserve">. The gains were also affected by the shift in the quad-week ending, at a more subdued level than seen during the past year. </w:t>
      </w:r>
    </w:p>
    <w:p w14:paraId="6D934167" w14:textId="02582B98" w:rsidR="00B07D7F" w:rsidRDefault="002511F5" w:rsidP="009718A1">
      <w:pPr>
        <w:pStyle w:val="NoSpacing"/>
        <w:numPr>
          <w:ilvl w:val="0"/>
          <w:numId w:val="2"/>
        </w:numPr>
        <w:rPr>
          <w:color w:val="000000" w:themeColor="text1"/>
        </w:rPr>
      </w:pPr>
      <w:r>
        <w:rPr>
          <w:color w:val="000000" w:themeColor="text1"/>
          <w:u w:val="single"/>
        </w:rPr>
        <w:t>Value added</w:t>
      </w:r>
      <w:r w:rsidR="00B11421" w:rsidRPr="00E72D31">
        <w:rPr>
          <w:color w:val="000000" w:themeColor="text1"/>
        </w:rPr>
        <w:t xml:space="preserve">: </w:t>
      </w:r>
      <w:r w:rsidR="00B07D7F">
        <w:rPr>
          <w:color w:val="000000" w:themeColor="text1"/>
        </w:rPr>
        <w:t>Value added mushrooms represented $</w:t>
      </w:r>
      <w:r w:rsidR="00F83117">
        <w:rPr>
          <w:color w:val="000000" w:themeColor="text1"/>
        </w:rPr>
        <w:t>6</w:t>
      </w:r>
      <w:r w:rsidR="005A72D5">
        <w:rPr>
          <w:color w:val="000000" w:themeColor="text1"/>
        </w:rPr>
        <w:t>28</w:t>
      </w:r>
      <w:r w:rsidR="00B07D7F">
        <w:rPr>
          <w:color w:val="000000" w:themeColor="text1"/>
        </w:rPr>
        <w:t xml:space="preserve"> million in sales in the past year</w:t>
      </w:r>
      <w:r w:rsidR="005A72D5">
        <w:rPr>
          <w:color w:val="000000" w:themeColor="text1"/>
        </w:rPr>
        <w:t xml:space="preserve"> and $47 million in the quad week</w:t>
      </w:r>
      <w:r w:rsidR="00B07D7F">
        <w:rPr>
          <w:color w:val="000000" w:themeColor="text1"/>
        </w:rPr>
        <w:t xml:space="preserve">. </w:t>
      </w:r>
      <w:r w:rsidR="005A72D5">
        <w:rPr>
          <w:color w:val="000000" w:themeColor="text1"/>
        </w:rPr>
        <w:t xml:space="preserve">Value-added makes up a bigger share of sales than produce in general, however, conventional mushrooms outperformed in the shorter- and longer-time periods. </w:t>
      </w:r>
    </w:p>
    <w:p w14:paraId="5CC8E748" w14:textId="5A8A5931" w:rsidR="00300A5F" w:rsidRPr="00E72D31" w:rsidRDefault="00B07D7F" w:rsidP="009718A1">
      <w:pPr>
        <w:pStyle w:val="NoSpacing"/>
        <w:numPr>
          <w:ilvl w:val="0"/>
          <w:numId w:val="2"/>
        </w:numPr>
        <w:rPr>
          <w:color w:val="000000" w:themeColor="text1"/>
        </w:rPr>
      </w:pPr>
      <w:r>
        <w:rPr>
          <w:color w:val="000000" w:themeColor="text1"/>
          <w:u w:val="single"/>
        </w:rPr>
        <w:t>Preparation</w:t>
      </w:r>
      <w:r w:rsidRPr="00B07D7F">
        <w:rPr>
          <w:color w:val="000000" w:themeColor="text1"/>
        </w:rPr>
        <w:t>:</w:t>
      </w:r>
      <w:r w:rsidR="00B32067">
        <w:rPr>
          <w:color w:val="000000" w:themeColor="text1"/>
        </w:rPr>
        <w:t xml:space="preserve"> </w:t>
      </w:r>
      <w:r w:rsidR="00FC51AD">
        <w:rPr>
          <w:color w:val="000000" w:themeColor="text1"/>
        </w:rPr>
        <w:t xml:space="preserve">Within value added, stuffed mushroom sales </w:t>
      </w:r>
      <w:r w:rsidR="00F83117">
        <w:rPr>
          <w:color w:val="000000" w:themeColor="text1"/>
        </w:rPr>
        <w:t>reached $28 million</w:t>
      </w:r>
      <w:r w:rsidR="005A72D5">
        <w:rPr>
          <w:color w:val="000000" w:themeColor="text1"/>
        </w:rPr>
        <w:t xml:space="preserve"> for the year</w:t>
      </w:r>
      <w:r w:rsidR="00F83117">
        <w:rPr>
          <w:color w:val="000000" w:themeColor="text1"/>
        </w:rPr>
        <w:t xml:space="preserve">, which was down </w:t>
      </w:r>
      <w:r w:rsidR="005A72D5">
        <w:rPr>
          <w:color w:val="000000" w:themeColor="text1"/>
        </w:rPr>
        <w:t>4.2</w:t>
      </w:r>
      <w:r w:rsidR="00FC51AD">
        <w:rPr>
          <w:color w:val="000000" w:themeColor="text1"/>
        </w:rPr>
        <w:t>% and sliced mushroom sales were down 4.</w:t>
      </w:r>
      <w:r w:rsidR="005A72D5">
        <w:rPr>
          <w:color w:val="000000" w:themeColor="text1"/>
        </w:rPr>
        <w:t>5</w:t>
      </w:r>
      <w:r w:rsidR="00FC51AD">
        <w:rPr>
          <w:color w:val="000000" w:themeColor="text1"/>
        </w:rPr>
        <w:t xml:space="preserve">% for the year. </w:t>
      </w:r>
    </w:p>
    <w:p w14:paraId="780AB35F" w14:textId="77777777" w:rsidR="000E0D6B" w:rsidRPr="00E72D31" w:rsidRDefault="000E0D6B" w:rsidP="00C9550B">
      <w:pPr>
        <w:pStyle w:val="NoSpacing"/>
        <w:rPr>
          <w:color w:val="000000" w:themeColor="text1"/>
          <w:sz w:val="10"/>
          <w:szCs w:val="10"/>
        </w:rPr>
      </w:pPr>
    </w:p>
    <w:p w14:paraId="612B03EE" w14:textId="4921C061" w:rsidR="000C7E82" w:rsidRP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w:t>
      </w:r>
      <w:r w:rsidR="00FA0530">
        <w:rPr>
          <w:color w:val="7F7F7F" w:themeColor="text1" w:themeTint="80"/>
          <w:sz w:val="16"/>
          <w:szCs w:val="16"/>
        </w:rPr>
        <w:t>MULO+</w:t>
      </w:r>
      <w:r w:rsidRPr="00EB30C7">
        <w:rPr>
          <w:color w:val="7F7F7F" w:themeColor="text1" w:themeTint="80"/>
          <w:sz w:val="16"/>
          <w:szCs w:val="16"/>
        </w:rPr>
        <w:t xml:space="preserve">,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5A72D5">
        <w:rPr>
          <w:color w:val="7F7F7F" w:themeColor="text1" w:themeTint="80"/>
          <w:sz w:val="16"/>
          <w:szCs w:val="16"/>
        </w:rPr>
        <w:t>12/29/2024</w:t>
      </w:r>
      <w:r w:rsidR="00B34EF7">
        <w:t xml:space="preserve"> </w:t>
      </w: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A7A" w14:textId="77777777" w:rsidR="00B50BA8" w:rsidRDefault="00B50BA8" w:rsidP="004E49DD">
      <w:pPr>
        <w:spacing w:after="0" w:line="240" w:lineRule="auto"/>
      </w:pPr>
      <w:r>
        <w:separator/>
      </w:r>
    </w:p>
  </w:endnote>
  <w:endnote w:type="continuationSeparator" w:id="0">
    <w:p w14:paraId="616F495D" w14:textId="77777777" w:rsidR="00B50BA8" w:rsidRDefault="00B50BA8"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01DD" w14:textId="77777777" w:rsidR="00B50BA8" w:rsidRDefault="00B50BA8" w:rsidP="004E49DD">
      <w:pPr>
        <w:spacing w:after="0" w:line="240" w:lineRule="auto"/>
      </w:pPr>
      <w:r>
        <w:separator/>
      </w:r>
    </w:p>
  </w:footnote>
  <w:footnote w:type="continuationSeparator" w:id="0">
    <w:p w14:paraId="2A8B4ACE" w14:textId="77777777" w:rsidR="00B50BA8" w:rsidRDefault="00B50BA8"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7329425">
    <w:abstractNumId w:val="17"/>
  </w:num>
  <w:num w:numId="2" w16cid:durableId="644547860">
    <w:abstractNumId w:val="20"/>
  </w:num>
  <w:num w:numId="3" w16cid:durableId="1911307132">
    <w:abstractNumId w:val="23"/>
  </w:num>
  <w:num w:numId="4" w16cid:durableId="1736781181">
    <w:abstractNumId w:val="10"/>
  </w:num>
  <w:num w:numId="5" w16cid:durableId="557324384">
    <w:abstractNumId w:val="28"/>
  </w:num>
  <w:num w:numId="6" w16cid:durableId="1329746927">
    <w:abstractNumId w:val="21"/>
  </w:num>
  <w:num w:numId="7" w16cid:durableId="2062632836">
    <w:abstractNumId w:val="13"/>
  </w:num>
  <w:num w:numId="8" w16cid:durableId="1871525357">
    <w:abstractNumId w:val="8"/>
  </w:num>
  <w:num w:numId="9" w16cid:durableId="577790281">
    <w:abstractNumId w:val="5"/>
  </w:num>
  <w:num w:numId="10" w16cid:durableId="1608153078">
    <w:abstractNumId w:val="25"/>
  </w:num>
  <w:num w:numId="11" w16cid:durableId="1006858205">
    <w:abstractNumId w:val="7"/>
  </w:num>
  <w:num w:numId="12" w16cid:durableId="1245919519">
    <w:abstractNumId w:val="24"/>
  </w:num>
  <w:num w:numId="13" w16cid:durableId="1476146281">
    <w:abstractNumId w:val="11"/>
  </w:num>
  <w:num w:numId="14" w16cid:durableId="879516229">
    <w:abstractNumId w:val="15"/>
  </w:num>
  <w:num w:numId="15" w16cid:durableId="1593122927">
    <w:abstractNumId w:val="31"/>
  </w:num>
  <w:num w:numId="16" w16cid:durableId="1467897718">
    <w:abstractNumId w:val="0"/>
  </w:num>
  <w:num w:numId="17" w16cid:durableId="224994427">
    <w:abstractNumId w:val="18"/>
  </w:num>
  <w:num w:numId="18" w16cid:durableId="242573606">
    <w:abstractNumId w:val="30"/>
  </w:num>
  <w:num w:numId="19" w16cid:durableId="1941139546">
    <w:abstractNumId w:val="16"/>
  </w:num>
  <w:num w:numId="20" w16cid:durableId="1163738741">
    <w:abstractNumId w:val="26"/>
  </w:num>
  <w:num w:numId="21" w16cid:durableId="1139229579">
    <w:abstractNumId w:val="14"/>
  </w:num>
  <w:num w:numId="22" w16cid:durableId="613949522">
    <w:abstractNumId w:val="1"/>
  </w:num>
  <w:num w:numId="23" w16cid:durableId="303390697">
    <w:abstractNumId w:val="4"/>
  </w:num>
  <w:num w:numId="24" w16cid:durableId="1560630692">
    <w:abstractNumId w:val="22"/>
  </w:num>
  <w:num w:numId="25" w16cid:durableId="1820269919">
    <w:abstractNumId w:val="27"/>
  </w:num>
  <w:num w:numId="26" w16cid:durableId="1179662545">
    <w:abstractNumId w:val="3"/>
  </w:num>
  <w:num w:numId="27" w16cid:durableId="441077983">
    <w:abstractNumId w:val="6"/>
  </w:num>
  <w:num w:numId="28" w16cid:durableId="2121141177">
    <w:abstractNumId w:val="29"/>
  </w:num>
  <w:num w:numId="29" w16cid:durableId="1728259774">
    <w:abstractNumId w:val="2"/>
  </w:num>
  <w:num w:numId="30" w16cid:durableId="1922329906">
    <w:abstractNumId w:val="19"/>
  </w:num>
  <w:num w:numId="31" w16cid:durableId="514416780">
    <w:abstractNumId w:val="9"/>
  </w:num>
  <w:num w:numId="32" w16cid:durableId="2097364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1FFF"/>
    <w:rsid w:val="00035D16"/>
    <w:rsid w:val="0003642F"/>
    <w:rsid w:val="00040942"/>
    <w:rsid w:val="0004266D"/>
    <w:rsid w:val="00044279"/>
    <w:rsid w:val="00047054"/>
    <w:rsid w:val="00052654"/>
    <w:rsid w:val="0005390A"/>
    <w:rsid w:val="0005415B"/>
    <w:rsid w:val="00057984"/>
    <w:rsid w:val="00070F7C"/>
    <w:rsid w:val="00072B0E"/>
    <w:rsid w:val="0007328F"/>
    <w:rsid w:val="00074705"/>
    <w:rsid w:val="0007660D"/>
    <w:rsid w:val="000809C3"/>
    <w:rsid w:val="00085508"/>
    <w:rsid w:val="00085F10"/>
    <w:rsid w:val="00087F7E"/>
    <w:rsid w:val="00090109"/>
    <w:rsid w:val="0009067E"/>
    <w:rsid w:val="00092E55"/>
    <w:rsid w:val="000963FA"/>
    <w:rsid w:val="0009676C"/>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05C56"/>
    <w:rsid w:val="001119BD"/>
    <w:rsid w:val="00113A33"/>
    <w:rsid w:val="0011683C"/>
    <w:rsid w:val="00117FE8"/>
    <w:rsid w:val="00124C8B"/>
    <w:rsid w:val="00124CB7"/>
    <w:rsid w:val="00133971"/>
    <w:rsid w:val="00137C12"/>
    <w:rsid w:val="00142A42"/>
    <w:rsid w:val="00145E27"/>
    <w:rsid w:val="00157136"/>
    <w:rsid w:val="00164656"/>
    <w:rsid w:val="00170260"/>
    <w:rsid w:val="00181944"/>
    <w:rsid w:val="00184281"/>
    <w:rsid w:val="00195B70"/>
    <w:rsid w:val="001A2890"/>
    <w:rsid w:val="001A33F9"/>
    <w:rsid w:val="001A4D44"/>
    <w:rsid w:val="001A601E"/>
    <w:rsid w:val="001B1351"/>
    <w:rsid w:val="001B18A2"/>
    <w:rsid w:val="001B68E6"/>
    <w:rsid w:val="001B762B"/>
    <w:rsid w:val="001C4DB2"/>
    <w:rsid w:val="001C7D0B"/>
    <w:rsid w:val="001D16CA"/>
    <w:rsid w:val="001D2675"/>
    <w:rsid w:val="001D4C76"/>
    <w:rsid w:val="001E7C8B"/>
    <w:rsid w:val="002007AF"/>
    <w:rsid w:val="00200AD1"/>
    <w:rsid w:val="00201075"/>
    <w:rsid w:val="00205BAF"/>
    <w:rsid w:val="0022081A"/>
    <w:rsid w:val="00221F2D"/>
    <w:rsid w:val="00222054"/>
    <w:rsid w:val="002225C6"/>
    <w:rsid w:val="00224A21"/>
    <w:rsid w:val="002253FE"/>
    <w:rsid w:val="0022580E"/>
    <w:rsid w:val="00226D0D"/>
    <w:rsid w:val="00226EF3"/>
    <w:rsid w:val="00232F2D"/>
    <w:rsid w:val="00240137"/>
    <w:rsid w:val="0024111A"/>
    <w:rsid w:val="002437CE"/>
    <w:rsid w:val="00245EFD"/>
    <w:rsid w:val="00250C2D"/>
    <w:rsid w:val="002511F5"/>
    <w:rsid w:val="00251BBC"/>
    <w:rsid w:val="00253F46"/>
    <w:rsid w:val="00262603"/>
    <w:rsid w:val="00264BA7"/>
    <w:rsid w:val="00264EDA"/>
    <w:rsid w:val="00266BBD"/>
    <w:rsid w:val="002712E8"/>
    <w:rsid w:val="00273580"/>
    <w:rsid w:val="00276C09"/>
    <w:rsid w:val="00277D7C"/>
    <w:rsid w:val="00281498"/>
    <w:rsid w:val="0028314E"/>
    <w:rsid w:val="00283776"/>
    <w:rsid w:val="00283DB2"/>
    <w:rsid w:val="00284A86"/>
    <w:rsid w:val="00287B67"/>
    <w:rsid w:val="0029118F"/>
    <w:rsid w:val="00291F75"/>
    <w:rsid w:val="00292678"/>
    <w:rsid w:val="002952B2"/>
    <w:rsid w:val="002B3879"/>
    <w:rsid w:val="002B7DCE"/>
    <w:rsid w:val="002B7E48"/>
    <w:rsid w:val="002E2CD2"/>
    <w:rsid w:val="002E6000"/>
    <w:rsid w:val="002F23A1"/>
    <w:rsid w:val="002F442E"/>
    <w:rsid w:val="00300A5F"/>
    <w:rsid w:val="003045B7"/>
    <w:rsid w:val="003070A2"/>
    <w:rsid w:val="0031233D"/>
    <w:rsid w:val="00312734"/>
    <w:rsid w:val="00314DA1"/>
    <w:rsid w:val="00322039"/>
    <w:rsid w:val="003222DB"/>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2196"/>
    <w:rsid w:val="00375863"/>
    <w:rsid w:val="0039393A"/>
    <w:rsid w:val="00395541"/>
    <w:rsid w:val="00396448"/>
    <w:rsid w:val="003A3323"/>
    <w:rsid w:val="003A5AFE"/>
    <w:rsid w:val="003A6A4B"/>
    <w:rsid w:val="003B4DEB"/>
    <w:rsid w:val="003B4E77"/>
    <w:rsid w:val="003C014B"/>
    <w:rsid w:val="003C1DD2"/>
    <w:rsid w:val="003C4CCE"/>
    <w:rsid w:val="003C72DD"/>
    <w:rsid w:val="003C7AA5"/>
    <w:rsid w:val="003D184D"/>
    <w:rsid w:val="003D3BDA"/>
    <w:rsid w:val="003D3C99"/>
    <w:rsid w:val="003D5B00"/>
    <w:rsid w:val="003D6A0F"/>
    <w:rsid w:val="003E466E"/>
    <w:rsid w:val="003E61D0"/>
    <w:rsid w:val="003E7319"/>
    <w:rsid w:val="003E75D3"/>
    <w:rsid w:val="003F4A65"/>
    <w:rsid w:val="003F7344"/>
    <w:rsid w:val="003F77CF"/>
    <w:rsid w:val="003F7D52"/>
    <w:rsid w:val="00400111"/>
    <w:rsid w:val="00403666"/>
    <w:rsid w:val="00406762"/>
    <w:rsid w:val="00410F05"/>
    <w:rsid w:val="00411710"/>
    <w:rsid w:val="004147E0"/>
    <w:rsid w:val="00417945"/>
    <w:rsid w:val="00421D7D"/>
    <w:rsid w:val="00423CCF"/>
    <w:rsid w:val="00424BD4"/>
    <w:rsid w:val="00425C26"/>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11FD"/>
    <w:rsid w:val="00483711"/>
    <w:rsid w:val="00485429"/>
    <w:rsid w:val="0048662A"/>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04E2"/>
    <w:rsid w:val="004F4C4D"/>
    <w:rsid w:val="004F7487"/>
    <w:rsid w:val="00504377"/>
    <w:rsid w:val="00504861"/>
    <w:rsid w:val="005049A9"/>
    <w:rsid w:val="00510C02"/>
    <w:rsid w:val="00511CD0"/>
    <w:rsid w:val="005233A4"/>
    <w:rsid w:val="00525F06"/>
    <w:rsid w:val="00526E95"/>
    <w:rsid w:val="00527BE9"/>
    <w:rsid w:val="00535D22"/>
    <w:rsid w:val="0054182D"/>
    <w:rsid w:val="00541AFF"/>
    <w:rsid w:val="00542C57"/>
    <w:rsid w:val="00543607"/>
    <w:rsid w:val="0055095F"/>
    <w:rsid w:val="00551949"/>
    <w:rsid w:val="00552C5D"/>
    <w:rsid w:val="005547EE"/>
    <w:rsid w:val="00555250"/>
    <w:rsid w:val="005571F3"/>
    <w:rsid w:val="00562346"/>
    <w:rsid w:val="0056284A"/>
    <w:rsid w:val="00567EE0"/>
    <w:rsid w:val="00591D5D"/>
    <w:rsid w:val="0059588E"/>
    <w:rsid w:val="005A3316"/>
    <w:rsid w:val="005A54F2"/>
    <w:rsid w:val="005A72D5"/>
    <w:rsid w:val="005B1FEE"/>
    <w:rsid w:val="005B6968"/>
    <w:rsid w:val="005C6AEE"/>
    <w:rsid w:val="005C75C7"/>
    <w:rsid w:val="005E1A66"/>
    <w:rsid w:val="005E212C"/>
    <w:rsid w:val="005E5127"/>
    <w:rsid w:val="005E5FEF"/>
    <w:rsid w:val="005E7FB2"/>
    <w:rsid w:val="005F1173"/>
    <w:rsid w:val="006035CB"/>
    <w:rsid w:val="00606FA3"/>
    <w:rsid w:val="00611140"/>
    <w:rsid w:val="00612308"/>
    <w:rsid w:val="00615709"/>
    <w:rsid w:val="00617504"/>
    <w:rsid w:val="00617712"/>
    <w:rsid w:val="0062044B"/>
    <w:rsid w:val="00620ED9"/>
    <w:rsid w:val="00621E2A"/>
    <w:rsid w:val="00630F34"/>
    <w:rsid w:val="00632993"/>
    <w:rsid w:val="0064102A"/>
    <w:rsid w:val="00645A58"/>
    <w:rsid w:val="00653B33"/>
    <w:rsid w:val="006617FB"/>
    <w:rsid w:val="006636C7"/>
    <w:rsid w:val="00663846"/>
    <w:rsid w:val="00666D40"/>
    <w:rsid w:val="006673B8"/>
    <w:rsid w:val="0066746E"/>
    <w:rsid w:val="00677889"/>
    <w:rsid w:val="00684918"/>
    <w:rsid w:val="00691846"/>
    <w:rsid w:val="00694050"/>
    <w:rsid w:val="00697E4D"/>
    <w:rsid w:val="006A1766"/>
    <w:rsid w:val="006A7A6E"/>
    <w:rsid w:val="006C1B19"/>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933"/>
    <w:rsid w:val="00731BCD"/>
    <w:rsid w:val="00734289"/>
    <w:rsid w:val="00743D95"/>
    <w:rsid w:val="007501A6"/>
    <w:rsid w:val="00752CD4"/>
    <w:rsid w:val="00757C0B"/>
    <w:rsid w:val="007670E1"/>
    <w:rsid w:val="007764C7"/>
    <w:rsid w:val="00782D09"/>
    <w:rsid w:val="00785D0D"/>
    <w:rsid w:val="00787068"/>
    <w:rsid w:val="00787BBD"/>
    <w:rsid w:val="007946B0"/>
    <w:rsid w:val="00795483"/>
    <w:rsid w:val="007A01C9"/>
    <w:rsid w:val="007A0B40"/>
    <w:rsid w:val="007A67D7"/>
    <w:rsid w:val="007B4A25"/>
    <w:rsid w:val="007C1D26"/>
    <w:rsid w:val="007C4638"/>
    <w:rsid w:val="007C6DB2"/>
    <w:rsid w:val="007D30DA"/>
    <w:rsid w:val="007D3393"/>
    <w:rsid w:val="007D33D8"/>
    <w:rsid w:val="007D3D1C"/>
    <w:rsid w:val="007F098A"/>
    <w:rsid w:val="007F1F55"/>
    <w:rsid w:val="007F2EF8"/>
    <w:rsid w:val="007F35D3"/>
    <w:rsid w:val="007F7149"/>
    <w:rsid w:val="007F7823"/>
    <w:rsid w:val="00802E32"/>
    <w:rsid w:val="00807BB4"/>
    <w:rsid w:val="00810052"/>
    <w:rsid w:val="00810777"/>
    <w:rsid w:val="0081583F"/>
    <w:rsid w:val="00826014"/>
    <w:rsid w:val="0083255B"/>
    <w:rsid w:val="00832F0A"/>
    <w:rsid w:val="00834A70"/>
    <w:rsid w:val="00837283"/>
    <w:rsid w:val="00851AC9"/>
    <w:rsid w:val="00851FDB"/>
    <w:rsid w:val="0086198D"/>
    <w:rsid w:val="008627B8"/>
    <w:rsid w:val="00863641"/>
    <w:rsid w:val="0086536E"/>
    <w:rsid w:val="00865920"/>
    <w:rsid w:val="00866A7D"/>
    <w:rsid w:val="008717C6"/>
    <w:rsid w:val="00873884"/>
    <w:rsid w:val="00880E1A"/>
    <w:rsid w:val="008815E3"/>
    <w:rsid w:val="008857EE"/>
    <w:rsid w:val="0089208F"/>
    <w:rsid w:val="008A084A"/>
    <w:rsid w:val="008A1DBB"/>
    <w:rsid w:val="008A56E2"/>
    <w:rsid w:val="008B128D"/>
    <w:rsid w:val="008B46B0"/>
    <w:rsid w:val="008B59F7"/>
    <w:rsid w:val="008B633D"/>
    <w:rsid w:val="008B6971"/>
    <w:rsid w:val="008B7FFD"/>
    <w:rsid w:val="008C7975"/>
    <w:rsid w:val="008D2A88"/>
    <w:rsid w:val="008D3EBE"/>
    <w:rsid w:val="008E48B1"/>
    <w:rsid w:val="008F2AA0"/>
    <w:rsid w:val="008F5801"/>
    <w:rsid w:val="0090384F"/>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3897"/>
    <w:rsid w:val="00956FE2"/>
    <w:rsid w:val="00957F25"/>
    <w:rsid w:val="009718A1"/>
    <w:rsid w:val="00972570"/>
    <w:rsid w:val="00975AF5"/>
    <w:rsid w:val="00976BF7"/>
    <w:rsid w:val="00977F7F"/>
    <w:rsid w:val="00986D1F"/>
    <w:rsid w:val="00990EE6"/>
    <w:rsid w:val="00991E3F"/>
    <w:rsid w:val="009A5A3B"/>
    <w:rsid w:val="009B0330"/>
    <w:rsid w:val="009B3A61"/>
    <w:rsid w:val="009B71AE"/>
    <w:rsid w:val="009B7AC3"/>
    <w:rsid w:val="009D40C5"/>
    <w:rsid w:val="009D5574"/>
    <w:rsid w:val="009D6711"/>
    <w:rsid w:val="009E4486"/>
    <w:rsid w:val="009F21E8"/>
    <w:rsid w:val="009F546F"/>
    <w:rsid w:val="009F6363"/>
    <w:rsid w:val="00A00697"/>
    <w:rsid w:val="00A050F9"/>
    <w:rsid w:val="00A13601"/>
    <w:rsid w:val="00A142BB"/>
    <w:rsid w:val="00A14586"/>
    <w:rsid w:val="00A14882"/>
    <w:rsid w:val="00A14C2B"/>
    <w:rsid w:val="00A25C11"/>
    <w:rsid w:val="00A30FD1"/>
    <w:rsid w:val="00A337DE"/>
    <w:rsid w:val="00A35305"/>
    <w:rsid w:val="00A36245"/>
    <w:rsid w:val="00A368A7"/>
    <w:rsid w:val="00A41711"/>
    <w:rsid w:val="00A43A45"/>
    <w:rsid w:val="00A447B6"/>
    <w:rsid w:val="00A45D51"/>
    <w:rsid w:val="00A50806"/>
    <w:rsid w:val="00A5084B"/>
    <w:rsid w:val="00A51F5B"/>
    <w:rsid w:val="00A52411"/>
    <w:rsid w:val="00A52B14"/>
    <w:rsid w:val="00A52EB4"/>
    <w:rsid w:val="00A53BAA"/>
    <w:rsid w:val="00A542DA"/>
    <w:rsid w:val="00A62213"/>
    <w:rsid w:val="00A657C4"/>
    <w:rsid w:val="00A668C3"/>
    <w:rsid w:val="00A70428"/>
    <w:rsid w:val="00A72B72"/>
    <w:rsid w:val="00A7426C"/>
    <w:rsid w:val="00A76558"/>
    <w:rsid w:val="00A80980"/>
    <w:rsid w:val="00A846E4"/>
    <w:rsid w:val="00A86F80"/>
    <w:rsid w:val="00A94A88"/>
    <w:rsid w:val="00A95B14"/>
    <w:rsid w:val="00A96E20"/>
    <w:rsid w:val="00AA721E"/>
    <w:rsid w:val="00AB019A"/>
    <w:rsid w:val="00AB06EA"/>
    <w:rsid w:val="00AB2DD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627A"/>
    <w:rsid w:val="00B07D7F"/>
    <w:rsid w:val="00B11421"/>
    <w:rsid w:val="00B135D9"/>
    <w:rsid w:val="00B13706"/>
    <w:rsid w:val="00B1715B"/>
    <w:rsid w:val="00B24BBD"/>
    <w:rsid w:val="00B25DFD"/>
    <w:rsid w:val="00B26CF3"/>
    <w:rsid w:val="00B32067"/>
    <w:rsid w:val="00B33A73"/>
    <w:rsid w:val="00B34EF7"/>
    <w:rsid w:val="00B362B8"/>
    <w:rsid w:val="00B367FA"/>
    <w:rsid w:val="00B369A8"/>
    <w:rsid w:val="00B40974"/>
    <w:rsid w:val="00B40C43"/>
    <w:rsid w:val="00B42A49"/>
    <w:rsid w:val="00B42A84"/>
    <w:rsid w:val="00B50BA8"/>
    <w:rsid w:val="00B542D1"/>
    <w:rsid w:val="00B562D5"/>
    <w:rsid w:val="00B615DD"/>
    <w:rsid w:val="00B63939"/>
    <w:rsid w:val="00B66E92"/>
    <w:rsid w:val="00B672D0"/>
    <w:rsid w:val="00B67414"/>
    <w:rsid w:val="00B67EE8"/>
    <w:rsid w:val="00B711BE"/>
    <w:rsid w:val="00B8232B"/>
    <w:rsid w:val="00B913BB"/>
    <w:rsid w:val="00B9392A"/>
    <w:rsid w:val="00B94AB0"/>
    <w:rsid w:val="00B95DDF"/>
    <w:rsid w:val="00B96FC1"/>
    <w:rsid w:val="00B979CF"/>
    <w:rsid w:val="00BA5F60"/>
    <w:rsid w:val="00BB03F4"/>
    <w:rsid w:val="00BB197D"/>
    <w:rsid w:val="00BC1A46"/>
    <w:rsid w:val="00BC34B2"/>
    <w:rsid w:val="00BC63FC"/>
    <w:rsid w:val="00BD6EDF"/>
    <w:rsid w:val="00BD7CF0"/>
    <w:rsid w:val="00BE7EF2"/>
    <w:rsid w:val="00BF16CF"/>
    <w:rsid w:val="00BF2F6B"/>
    <w:rsid w:val="00BF3DAE"/>
    <w:rsid w:val="00BF5D9C"/>
    <w:rsid w:val="00BF62D3"/>
    <w:rsid w:val="00BF713B"/>
    <w:rsid w:val="00C00809"/>
    <w:rsid w:val="00C00CFD"/>
    <w:rsid w:val="00C01917"/>
    <w:rsid w:val="00C0288B"/>
    <w:rsid w:val="00C06C77"/>
    <w:rsid w:val="00C12877"/>
    <w:rsid w:val="00C12E18"/>
    <w:rsid w:val="00C25B31"/>
    <w:rsid w:val="00C26518"/>
    <w:rsid w:val="00C329D7"/>
    <w:rsid w:val="00C3750A"/>
    <w:rsid w:val="00C3770B"/>
    <w:rsid w:val="00C422D1"/>
    <w:rsid w:val="00C469D3"/>
    <w:rsid w:val="00C571DD"/>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C4137"/>
    <w:rsid w:val="00CE27CF"/>
    <w:rsid w:val="00CE4BEB"/>
    <w:rsid w:val="00CE621C"/>
    <w:rsid w:val="00D010B5"/>
    <w:rsid w:val="00D0131F"/>
    <w:rsid w:val="00D03B05"/>
    <w:rsid w:val="00D06A72"/>
    <w:rsid w:val="00D116C0"/>
    <w:rsid w:val="00D1241B"/>
    <w:rsid w:val="00D131C5"/>
    <w:rsid w:val="00D14991"/>
    <w:rsid w:val="00D15B2D"/>
    <w:rsid w:val="00D2073F"/>
    <w:rsid w:val="00D22E21"/>
    <w:rsid w:val="00D24514"/>
    <w:rsid w:val="00D261F8"/>
    <w:rsid w:val="00D26DE8"/>
    <w:rsid w:val="00D305A5"/>
    <w:rsid w:val="00D31C81"/>
    <w:rsid w:val="00D3797F"/>
    <w:rsid w:val="00D44344"/>
    <w:rsid w:val="00D4752E"/>
    <w:rsid w:val="00D55AB1"/>
    <w:rsid w:val="00D66EF8"/>
    <w:rsid w:val="00D76F32"/>
    <w:rsid w:val="00D81FBA"/>
    <w:rsid w:val="00D8225F"/>
    <w:rsid w:val="00D8798E"/>
    <w:rsid w:val="00D9097A"/>
    <w:rsid w:val="00D96AEE"/>
    <w:rsid w:val="00D97BC7"/>
    <w:rsid w:val="00DA553C"/>
    <w:rsid w:val="00DB35E6"/>
    <w:rsid w:val="00DB764D"/>
    <w:rsid w:val="00DD1737"/>
    <w:rsid w:val="00DD58ED"/>
    <w:rsid w:val="00DD59DA"/>
    <w:rsid w:val="00DD7758"/>
    <w:rsid w:val="00DE4C4C"/>
    <w:rsid w:val="00DE66CE"/>
    <w:rsid w:val="00DE7CE5"/>
    <w:rsid w:val="00DF1F77"/>
    <w:rsid w:val="00E05FFE"/>
    <w:rsid w:val="00E20285"/>
    <w:rsid w:val="00E20E22"/>
    <w:rsid w:val="00E22317"/>
    <w:rsid w:val="00E229C8"/>
    <w:rsid w:val="00E23359"/>
    <w:rsid w:val="00E25816"/>
    <w:rsid w:val="00E25C6B"/>
    <w:rsid w:val="00E26986"/>
    <w:rsid w:val="00E26AD1"/>
    <w:rsid w:val="00E34CF4"/>
    <w:rsid w:val="00E3597B"/>
    <w:rsid w:val="00E37DF5"/>
    <w:rsid w:val="00E4438B"/>
    <w:rsid w:val="00E46DB2"/>
    <w:rsid w:val="00E4705F"/>
    <w:rsid w:val="00E477C3"/>
    <w:rsid w:val="00E508BB"/>
    <w:rsid w:val="00E54683"/>
    <w:rsid w:val="00E57C49"/>
    <w:rsid w:val="00E629E0"/>
    <w:rsid w:val="00E65269"/>
    <w:rsid w:val="00E65A4C"/>
    <w:rsid w:val="00E66BFD"/>
    <w:rsid w:val="00E72D31"/>
    <w:rsid w:val="00E758A0"/>
    <w:rsid w:val="00E81634"/>
    <w:rsid w:val="00E82F6A"/>
    <w:rsid w:val="00E83CBD"/>
    <w:rsid w:val="00E85C62"/>
    <w:rsid w:val="00E9636F"/>
    <w:rsid w:val="00EA0CB5"/>
    <w:rsid w:val="00EB090C"/>
    <w:rsid w:val="00EB30C7"/>
    <w:rsid w:val="00EB5C11"/>
    <w:rsid w:val="00ED0859"/>
    <w:rsid w:val="00ED2B2E"/>
    <w:rsid w:val="00EE6AB6"/>
    <w:rsid w:val="00EF1E09"/>
    <w:rsid w:val="00EF1F27"/>
    <w:rsid w:val="00EF20EE"/>
    <w:rsid w:val="00EF25E4"/>
    <w:rsid w:val="00F02776"/>
    <w:rsid w:val="00F04FAB"/>
    <w:rsid w:val="00F06A94"/>
    <w:rsid w:val="00F0742E"/>
    <w:rsid w:val="00F12F2D"/>
    <w:rsid w:val="00F16E5F"/>
    <w:rsid w:val="00F20BAF"/>
    <w:rsid w:val="00F2310D"/>
    <w:rsid w:val="00F24118"/>
    <w:rsid w:val="00F24969"/>
    <w:rsid w:val="00F26DD2"/>
    <w:rsid w:val="00F273C5"/>
    <w:rsid w:val="00F31822"/>
    <w:rsid w:val="00F341A6"/>
    <w:rsid w:val="00F40BC0"/>
    <w:rsid w:val="00F4460A"/>
    <w:rsid w:val="00F47EA1"/>
    <w:rsid w:val="00F55228"/>
    <w:rsid w:val="00F5571F"/>
    <w:rsid w:val="00F565B7"/>
    <w:rsid w:val="00F57DFC"/>
    <w:rsid w:val="00F65EBE"/>
    <w:rsid w:val="00F71485"/>
    <w:rsid w:val="00F800A5"/>
    <w:rsid w:val="00F83117"/>
    <w:rsid w:val="00F86B08"/>
    <w:rsid w:val="00F93404"/>
    <w:rsid w:val="00F96C98"/>
    <w:rsid w:val="00FA0530"/>
    <w:rsid w:val="00FA1CDF"/>
    <w:rsid w:val="00FA3219"/>
    <w:rsid w:val="00FA7124"/>
    <w:rsid w:val="00FB15C0"/>
    <w:rsid w:val="00FB7E9E"/>
    <w:rsid w:val="00FC01AA"/>
    <w:rsid w:val="00FC1B34"/>
    <w:rsid w:val="00FC2E5F"/>
    <w:rsid w:val="00FC364A"/>
    <w:rsid w:val="00FC3E0A"/>
    <w:rsid w:val="00FC51AD"/>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BB733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BB733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85D04" w:themeColor="accent2"/>
        <w:left w:val="single" w:sz="4" w:space="0" w:color="E85D04" w:themeColor="accent2"/>
        <w:bottom w:val="single" w:sz="4" w:space="0" w:color="E85D04" w:themeColor="accent2"/>
        <w:right w:val="single" w:sz="4" w:space="0" w:color="E85D04" w:themeColor="accent2"/>
      </w:tblBorders>
    </w:tblPr>
    <w:tblStylePr w:type="firstRow">
      <w:rPr>
        <w:b/>
        <w:bCs/>
        <w:color w:val="FFFFFF" w:themeColor="background1"/>
      </w:rPr>
      <w:tblPr/>
      <w:tcPr>
        <w:shd w:val="clear" w:color="auto" w:fill="E85D04" w:themeFill="accent2"/>
      </w:tcPr>
    </w:tblStylePr>
    <w:tblStylePr w:type="lastRow">
      <w:rPr>
        <w:b/>
        <w:bCs/>
      </w:rPr>
      <w:tblPr/>
      <w:tcPr>
        <w:tcBorders>
          <w:top w:val="double" w:sz="4" w:space="0" w:color="E85D0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04" w:themeColor="accent2"/>
          <w:right w:val="single" w:sz="4" w:space="0" w:color="E85D04" w:themeColor="accent2"/>
        </w:tcBorders>
      </w:tcPr>
    </w:tblStylePr>
    <w:tblStylePr w:type="band1Horz">
      <w:tblPr/>
      <w:tcPr>
        <w:tcBorders>
          <w:top w:val="single" w:sz="4" w:space="0" w:color="E85D04" w:themeColor="accent2"/>
          <w:bottom w:val="single" w:sz="4" w:space="0" w:color="E85D0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04" w:themeColor="accent2"/>
          <w:left w:val="nil"/>
        </w:tcBorders>
      </w:tcPr>
    </w:tblStylePr>
    <w:tblStylePr w:type="swCell">
      <w:tblPr/>
      <w:tcPr>
        <w:tcBorders>
          <w:top w:val="double" w:sz="4" w:space="0" w:color="E85D04"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BB733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C9A5D" w:themeColor="accent2" w:themeTint="99"/>
        <w:left w:val="single" w:sz="4" w:space="0" w:color="FC9A5D" w:themeColor="accent2" w:themeTint="99"/>
        <w:bottom w:val="single" w:sz="4" w:space="0" w:color="FC9A5D" w:themeColor="accent2" w:themeTint="99"/>
        <w:right w:val="single" w:sz="4" w:space="0" w:color="FC9A5D" w:themeColor="accent2" w:themeTint="99"/>
        <w:insideH w:val="single" w:sz="4" w:space="0" w:color="FC9A5D" w:themeColor="accent2" w:themeTint="99"/>
        <w:insideV w:val="single" w:sz="4" w:space="0" w:color="FC9A5D" w:themeColor="accent2" w:themeTint="99"/>
      </w:tblBorders>
    </w:tblPr>
    <w:tblStylePr w:type="firstRow">
      <w:rPr>
        <w:b/>
        <w:bCs/>
        <w:color w:val="FFFFFF" w:themeColor="background1"/>
      </w:rPr>
      <w:tblPr/>
      <w:tcPr>
        <w:tcBorders>
          <w:top w:val="single" w:sz="4" w:space="0" w:color="E85D04" w:themeColor="accent2"/>
          <w:left w:val="single" w:sz="4" w:space="0" w:color="E85D04" w:themeColor="accent2"/>
          <w:bottom w:val="single" w:sz="4" w:space="0" w:color="E85D04" w:themeColor="accent2"/>
          <w:right w:val="single" w:sz="4" w:space="0" w:color="E85D04" w:themeColor="accent2"/>
          <w:insideH w:val="nil"/>
          <w:insideV w:val="nil"/>
        </w:tcBorders>
        <w:shd w:val="clear" w:color="auto" w:fill="E85D04" w:themeFill="accent2"/>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AD4503" w:themeColor="accent2" w:themeShade="BF"/>
    </w:rPr>
    <w:tblPr>
      <w:tblStyleRowBandSize w:val="1"/>
      <w:tblStyleColBandSize w:val="1"/>
      <w:tblBorders>
        <w:top w:val="single" w:sz="4" w:space="0" w:color="E85D04" w:themeColor="accent2"/>
        <w:bottom w:val="single" w:sz="4" w:space="0" w:color="E85D04" w:themeColor="accent2"/>
      </w:tblBorders>
    </w:tblPr>
    <w:tblStylePr w:type="firstRow">
      <w:rPr>
        <w:b/>
        <w:bCs/>
      </w:rPr>
      <w:tblPr/>
      <w:tcPr>
        <w:tcBorders>
          <w:bottom w:val="single" w:sz="4" w:space="0" w:color="E85D04" w:themeColor="accent2"/>
        </w:tcBorders>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BB733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E5C4A7" w:themeColor="accent1" w:themeTint="99"/>
        </w:tcBorders>
      </w:tcPr>
    </w:tblStylePr>
    <w:tblStylePr w:type="lastRow">
      <w:rPr>
        <w:b/>
        <w:bCs/>
      </w:rPr>
      <w:tblPr/>
      <w:tcPr>
        <w:tcBorders>
          <w:top w:val="single" w:sz="4" w:space="0" w:color="E5C4A7" w:themeColor="accent1" w:themeTint="99"/>
        </w:tcBorders>
      </w:tcPr>
    </w:tblStylePr>
    <w:tblStylePr w:type="firstCol">
      <w:rPr>
        <w:b/>
        <w:bCs/>
      </w:rPr>
    </w:tblStylePr>
    <w:tblStylePr w:type="lastCol">
      <w:rPr>
        <w:b/>
        <w:bCs/>
      </w:rPr>
    </w:tblStylePr>
    <w:tblStylePr w:type="band1Vert">
      <w:tblPr/>
      <w:tcPr>
        <w:shd w:val="clear" w:color="auto" w:fill="F6EBE1" w:themeFill="accent1" w:themeFillTint="33"/>
      </w:tcPr>
    </w:tblStylePr>
    <w:tblStylePr w:type="band1Horz">
      <w:tblPr/>
      <w:tcPr>
        <w:shd w:val="clear" w:color="auto" w:fill="F6EBE1" w:themeFill="accent1" w:themeFillTint="33"/>
      </w:tcPr>
    </w:tblStylePr>
  </w:style>
  <w:style w:type="paragraph" w:styleId="CommentText">
    <w:name w:val="annotation text"/>
    <w:basedOn w:val="Normal"/>
    <w:link w:val="CommentTextChar"/>
    <w:uiPriority w:val="99"/>
    <w:semiHidden/>
    <w:unhideWhenUsed/>
    <w:rsid w:val="0064102A"/>
    <w:pPr>
      <w:spacing w:line="240" w:lineRule="auto"/>
    </w:pPr>
    <w:rPr>
      <w:sz w:val="20"/>
      <w:szCs w:val="20"/>
    </w:rPr>
  </w:style>
  <w:style w:type="character" w:customStyle="1" w:styleId="CommentTextChar">
    <w:name w:val="Comment Text Char"/>
    <w:basedOn w:val="DefaultParagraphFont"/>
    <w:link w:val="CommentText"/>
    <w:uiPriority w:val="99"/>
    <w:semiHidden/>
    <w:rsid w:val="0064102A"/>
    <w:rPr>
      <w:sz w:val="20"/>
      <w:szCs w:val="20"/>
    </w:rPr>
  </w:style>
  <w:style w:type="paragraph" w:styleId="CommentSubject">
    <w:name w:val="annotation subject"/>
    <w:basedOn w:val="CommentText"/>
    <w:next w:val="CommentText"/>
    <w:link w:val="CommentSubjectChar"/>
    <w:uiPriority w:val="99"/>
    <w:semiHidden/>
    <w:unhideWhenUsed/>
    <w:rsid w:val="0064102A"/>
    <w:pPr>
      <w:spacing w:after="200"/>
    </w:pPr>
    <w:rPr>
      <w:b/>
      <w:bCs/>
    </w:rPr>
  </w:style>
  <w:style w:type="character" w:customStyle="1" w:styleId="CommentSubjectChar">
    <w:name w:val="Comment Subject Char"/>
    <w:basedOn w:val="CommentTextChar"/>
    <w:link w:val="CommentSubject"/>
    <w:uiPriority w:val="99"/>
    <w:semiHidden/>
    <w:rsid w:val="0064102A"/>
    <w:rPr>
      <w:b/>
      <w:bCs/>
      <w:sz w:val="20"/>
      <w:szCs w:val="20"/>
    </w:rPr>
  </w:style>
  <w:style w:type="table" w:styleId="ListTable3-Accent3">
    <w:name w:val="List Table 3 Accent 3"/>
    <w:basedOn w:val="TableNormal"/>
    <w:uiPriority w:val="48"/>
    <w:rsid w:val="00D3797F"/>
    <w:pPr>
      <w:spacing w:after="0" w:line="240" w:lineRule="auto"/>
    </w:pPr>
    <w:tblPr>
      <w:tblStyleRowBandSize w:val="1"/>
      <w:tblStyleColBandSize w:val="1"/>
      <w:tblBorders>
        <w:top w:val="single" w:sz="4" w:space="0" w:color="DC2F02" w:themeColor="accent3"/>
        <w:left w:val="single" w:sz="4" w:space="0" w:color="DC2F02" w:themeColor="accent3"/>
        <w:bottom w:val="single" w:sz="4" w:space="0" w:color="DC2F02" w:themeColor="accent3"/>
        <w:right w:val="single" w:sz="4" w:space="0" w:color="DC2F02" w:themeColor="accent3"/>
      </w:tblBorders>
    </w:tblPr>
    <w:tblStylePr w:type="firstRow">
      <w:rPr>
        <w:b/>
        <w:bCs/>
        <w:color w:val="FFFFFF" w:themeColor="background1"/>
      </w:rPr>
      <w:tblPr/>
      <w:tcPr>
        <w:shd w:val="clear" w:color="auto" w:fill="DC2F02" w:themeFill="accent3"/>
      </w:tcPr>
    </w:tblStylePr>
    <w:tblStylePr w:type="lastRow">
      <w:rPr>
        <w:b/>
        <w:bCs/>
      </w:rPr>
      <w:tblPr/>
      <w:tcPr>
        <w:tcBorders>
          <w:top w:val="double" w:sz="4" w:space="0" w:color="DC2F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2F02" w:themeColor="accent3"/>
          <w:right w:val="single" w:sz="4" w:space="0" w:color="DC2F02" w:themeColor="accent3"/>
        </w:tcBorders>
      </w:tcPr>
    </w:tblStylePr>
    <w:tblStylePr w:type="band1Horz">
      <w:tblPr/>
      <w:tcPr>
        <w:tcBorders>
          <w:top w:val="single" w:sz="4" w:space="0" w:color="DC2F02" w:themeColor="accent3"/>
          <w:bottom w:val="single" w:sz="4" w:space="0" w:color="DC2F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2F02" w:themeColor="accent3"/>
          <w:left w:val="nil"/>
        </w:tcBorders>
      </w:tcPr>
    </w:tblStylePr>
    <w:tblStylePr w:type="swCell">
      <w:tblPr/>
      <w:tcPr>
        <w:tcBorders>
          <w:top w:val="double" w:sz="4" w:space="0" w:color="DC2F02"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41682013">
      <w:bodyDiv w:val="1"/>
      <w:marLeft w:val="0"/>
      <w:marRight w:val="0"/>
      <w:marTop w:val="0"/>
      <w:marBottom w:val="0"/>
      <w:divBdr>
        <w:top w:val="none" w:sz="0" w:space="0" w:color="auto"/>
        <w:left w:val="none" w:sz="0" w:space="0" w:color="auto"/>
        <w:bottom w:val="none" w:sz="0" w:space="0" w:color="auto"/>
        <w:right w:val="none" w:sz="0" w:space="0" w:color="auto"/>
      </w:divBdr>
    </w:div>
    <w:div w:id="69622847">
      <w:bodyDiv w:val="1"/>
      <w:marLeft w:val="0"/>
      <w:marRight w:val="0"/>
      <w:marTop w:val="0"/>
      <w:marBottom w:val="0"/>
      <w:divBdr>
        <w:top w:val="none" w:sz="0" w:space="0" w:color="auto"/>
        <w:left w:val="none" w:sz="0" w:space="0" w:color="auto"/>
        <w:bottom w:val="none" w:sz="0" w:space="0" w:color="auto"/>
        <w:right w:val="none" w:sz="0" w:space="0" w:color="auto"/>
      </w:divBdr>
    </w:div>
    <w:div w:id="287199569">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480077743">
      <w:bodyDiv w:val="1"/>
      <w:marLeft w:val="0"/>
      <w:marRight w:val="0"/>
      <w:marTop w:val="0"/>
      <w:marBottom w:val="0"/>
      <w:divBdr>
        <w:top w:val="none" w:sz="0" w:space="0" w:color="auto"/>
        <w:left w:val="none" w:sz="0" w:space="0" w:color="auto"/>
        <w:bottom w:val="none" w:sz="0" w:space="0" w:color="auto"/>
        <w:right w:val="none" w:sz="0" w:space="0" w:color="auto"/>
      </w:divBdr>
    </w:div>
    <w:div w:id="723211507">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367415632">
      <w:bodyDiv w:val="1"/>
      <w:marLeft w:val="0"/>
      <w:marRight w:val="0"/>
      <w:marTop w:val="0"/>
      <w:marBottom w:val="0"/>
      <w:divBdr>
        <w:top w:val="none" w:sz="0" w:space="0" w:color="auto"/>
        <w:left w:val="none" w:sz="0" w:space="0" w:color="auto"/>
        <w:bottom w:val="none" w:sz="0" w:space="0" w:color="auto"/>
        <w:right w:val="none" w:sz="0" w:space="0" w:color="auto"/>
      </w:divBdr>
    </w:div>
    <w:div w:id="1644501453">
      <w:bodyDiv w:val="1"/>
      <w:marLeft w:val="0"/>
      <w:marRight w:val="0"/>
      <w:marTop w:val="0"/>
      <w:marBottom w:val="0"/>
      <w:divBdr>
        <w:top w:val="none" w:sz="0" w:space="0" w:color="auto"/>
        <w:left w:val="none" w:sz="0" w:space="0" w:color="auto"/>
        <w:bottom w:val="none" w:sz="0" w:space="0" w:color="auto"/>
        <w:right w:val="none" w:sz="0" w:space="0" w:color="auto"/>
      </w:divBdr>
    </w:div>
    <w:div w:id="1685790331">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B36C40"/>
      </a:dk2>
      <a:lt2>
        <a:srgbClr val="FFF498"/>
      </a:lt2>
      <a:accent1>
        <a:srgbClr val="D59E6E"/>
      </a:accent1>
      <a:accent2>
        <a:srgbClr val="E85D04"/>
      </a:accent2>
      <a:accent3>
        <a:srgbClr val="DC2F02"/>
      </a:accent3>
      <a:accent4>
        <a:srgbClr val="FFC000"/>
      </a:accent4>
      <a:accent5>
        <a:srgbClr val="5B9BD5"/>
      </a:accent5>
      <a:accent6>
        <a:srgbClr val="70AD47"/>
      </a:accent6>
      <a:hlink>
        <a:srgbClr val="B36C40"/>
      </a:hlink>
      <a:folHlink>
        <a:srgbClr val="833C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4B90F-70E5-47E2-B86D-1B566B26406D}">
  <ds:schemaRefs>
    <ds:schemaRef ds:uri="http://schemas.microsoft.com/sharepoint/v3/contenttype/forms"/>
  </ds:schemaRefs>
</ds:datastoreItem>
</file>

<file path=customXml/itemProps2.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5</cp:revision>
  <dcterms:created xsi:type="dcterms:W3CDTF">2025-01-07T18:19:00Z</dcterms:created>
  <dcterms:modified xsi:type="dcterms:W3CDTF">2025-01-10T20:43:00Z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